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7B" w:rsidRDefault="002B04E6" w:rsidP="002B04E6">
      <w:pPr>
        <w:jc w:val="center"/>
      </w:pPr>
      <w:r>
        <w:t xml:space="preserve">Quick user </w:t>
      </w:r>
      <w:r w:rsidR="00A12091">
        <w:t>guide</w:t>
      </w:r>
      <w:r w:rsidR="001075C5">
        <w:t xml:space="preserve"> for CAREWare webinars</w:t>
      </w:r>
    </w:p>
    <w:p w:rsidR="001075C5" w:rsidRDefault="001075C5" w:rsidP="002B04E6">
      <w:pPr>
        <w:jc w:val="center"/>
      </w:pPr>
      <w:r>
        <w:t>Nov 10 and Dec 1, 2020</w:t>
      </w:r>
    </w:p>
    <w:p w:rsidR="001075C5" w:rsidRDefault="001075C5"/>
    <w:p w:rsidR="001075C5" w:rsidRDefault="009C1105" w:rsidP="00A30535">
      <w:pPr>
        <w:pStyle w:val="ListParagraph"/>
        <w:numPr>
          <w:ilvl w:val="0"/>
          <w:numId w:val="1"/>
        </w:numPr>
        <w:rPr>
          <w:b/>
        </w:rPr>
      </w:pPr>
      <w:r w:rsidRPr="002B04E6">
        <w:rPr>
          <w:b/>
        </w:rPr>
        <w:t xml:space="preserve">Client </w:t>
      </w:r>
      <w:r w:rsidR="001075C5" w:rsidRPr="002B04E6">
        <w:rPr>
          <w:b/>
        </w:rPr>
        <w:t>Eligibility and Contracts</w:t>
      </w:r>
    </w:p>
    <w:p w:rsidR="00AD23CC" w:rsidRDefault="001075C5" w:rsidP="00AD23CC">
      <w:pPr>
        <w:pStyle w:val="ListParagraph"/>
        <w:numPr>
          <w:ilvl w:val="0"/>
          <w:numId w:val="2"/>
        </w:numPr>
      </w:pPr>
      <w:r>
        <w:t xml:space="preserve">Remember for </w:t>
      </w:r>
      <w:r w:rsidR="009C1105">
        <w:t xml:space="preserve">the </w:t>
      </w:r>
      <w:r>
        <w:t xml:space="preserve">RSR: </w:t>
      </w:r>
      <w:r w:rsidR="009E1D91">
        <w:t xml:space="preserve">To get included, </w:t>
      </w:r>
      <w:r>
        <w:t xml:space="preserve">a client must have an eligibility </w:t>
      </w:r>
      <w:r w:rsidR="009E1D91">
        <w:t xml:space="preserve">record </w:t>
      </w:r>
      <w:r>
        <w:t xml:space="preserve">that overlaps at least some time </w:t>
      </w:r>
      <w:r w:rsidR="009E1D91">
        <w:t>with</w:t>
      </w:r>
      <w:r>
        <w:t xml:space="preserve"> the current reporting year.</w:t>
      </w:r>
      <w:r w:rsidR="00AD23CC">
        <w:t xml:space="preserve">  </w:t>
      </w:r>
    </w:p>
    <w:p w:rsidR="009C1105" w:rsidRDefault="00AD23CC" w:rsidP="00AD23CC">
      <w:pPr>
        <w:pStyle w:val="ListParagraph"/>
        <w:numPr>
          <w:ilvl w:val="0"/>
          <w:numId w:val="2"/>
        </w:numPr>
        <w:rPr>
          <w:b/>
          <w:i/>
        </w:rPr>
      </w:pPr>
      <w:r>
        <w:t>Along with no</w:t>
      </w:r>
      <w:r w:rsidR="00B84CAC">
        <w:t>t having a</w:t>
      </w:r>
      <w:r>
        <w:t xml:space="preserve"> RWHAP-funded service in the period, </w:t>
      </w:r>
      <w:r w:rsidRPr="00B84CAC">
        <w:rPr>
          <w:b/>
          <w:i/>
        </w:rPr>
        <w:t>lack of an eligibility record is one of the major reasons clients don’t get included in the RSR</w:t>
      </w:r>
      <w:r w:rsidR="009E1D91">
        <w:rPr>
          <w:b/>
          <w:i/>
        </w:rPr>
        <w:t>!</w:t>
      </w:r>
    </w:p>
    <w:p w:rsidR="00AF05B1" w:rsidRDefault="00AF05B1" w:rsidP="00AF05B1">
      <w:pPr>
        <w:pStyle w:val="ListParagraph"/>
        <w:ind w:left="1080"/>
        <w:rPr>
          <w:b/>
          <w:i/>
        </w:rPr>
      </w:pPr>
    </w:p>
    <w:p w:rsidR="00AF05B1" w:rsidRDefault="00AF05B1" w:rsidP="00AF05B1">
      <w:pPr>
        <w:pStyle w:val="ListParagraph"/>
        <w:ind w:left="1080"/>
        <w:rPr>
          <w:b/>
          <w:i/>
        </w:rPr>
      </w:pPr>
    </w:p>
    <w:p w:rsidR="00AF05B1" w:rsidRPr="00B84CAC" w:rsidRDefault="006755DA" w:rsidP="00AF05B1">
      <w:pPr>
        <w:pStyle w:val="ListParagraph"/>
        <w:ind w:left="1080"/>
        <w:rPr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220980</wp:posOffset>
                </wp:positionV>
                <wp:extent cx="4038600" cy="52705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B1" w:rsidRPr="00CE5100" w:rsidRDefault="00AF05B1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CE5100">
                              <w:rPr>
                                <w:b/>
                                <w:color w:val="C45911" w:themeColor="accent2" w:themeShade="BF"/>
                              </w:rPr>
                              <w:t>Note: In these screenshots, follow the “bread crumbs” in the top row to know exactly what screen is being shown.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17.4pt;width:318pt;height: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9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">
                <v:textbox>
                  <w:txbxContent>
                    <w:p w:rsidR="00AF05B1" w:rsidRPr="00CE5100" w:rsidRDefault="00AF05B1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 w:rsidRPr="00CE5100">
                        <w:rPr>
                          <w:b/>
                          <w:color w:val="C45911" w:themeColor="accent2" w:themeShade="BF"/>
                        </w:rPr>
                        <w:t>Note: In these screenshots, follow the “bread crumbs” in the top row to know exactly what screen is being shown.</w:t>
                      </w:r>
                    </w:p>
                  </w:txbxContent>
                </v:textbox>
              </v:shape>
            </w:pict>
          </mc:Fallback>
        </mc:AlternateContent>
      </w:r>
    </w:p>
    <w:p w:rsidR="00AF05B1" w:rsidRDefault="00AF05B1" w:rsidP="001075C5">
      <w:pPr>
        <w:ind w:left="360"/>
      </w:pPr>
    </w:p>
    <w:p w:rsidR="00AF05B1" w:rsidRDefault="00AF05B1" w:rsidP="001075C5">
      <w:pPr>
        <w:ind w:left="360"/>
      </w:pPr>
    </w:p>
    <w:p w:rsidR="001075C5" w:rsidRDefault="001075C5" w:rsidP="001075C5">
      <w:pPr>
        <w:ind w:left="360"/>
      </w:pPr>
      <w:r>
        <w:rPr>
          <w:noProof/>
        </w:rPr>
        <w:drawing>
          <wp:inline distT="0" distB="0" distL="0" distR="0" wp14:anchorId="3BF1B194" wp14:editId="2AF89C9F">
            <wp:extent cx="5943600" cy="2393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1B9" w:rsidRDefault="002731B9" w:rsidP="001075C5">
      <w:pPr>
        <w:ind w:left="360"/>
      </w:pPr>
    </w:p>
    <w:p w:rsidR="002731B9" w:rsidRDefault="002731B9" w:rsidP="001075C5">
      <w:pPr>
        <w:ind w:left="360"/>
      </w:pPr>
    </w:p>
    <w:p w:rsidR="002731B9" w:rsidRDefault="002731B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3"/>
        <w:gridCol w:w="2687"/>
        <w:gridCol w:w="3078"/>
        <w:gridCol w:w="1732"/>
      </w:tblGrid>
      <w:tr w:rsidR="002731B9" w:rsidRPr="00E86634" w:rsidTr="00443322">
        <w:trPr>
          <w:trHeight w:val="222"/>
        </w:trPr>
        <w:tc>
          <w:tcPr>
            <w:tcW w:w="991" w:type="pct"/>
            <w:shd w:val="clear" w:color="auto" w:fill="1D9A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31B9" w:rsidRPr="00E86634" w:rsidRDefault="002731B9" w:rsidP="006E5D48">
            <w:pPr>
              <w:jc w:val="center"/>
              <w:rPr>
                <w:sz w:val="20"/>
                <w:szCs w:val="20"/>
              </w:rPr>
            </w:pPr>
            <w:r w:rsidRPr="00E86634">
              <w:rPr>
                <w:b/>
                <w:bCs/>
                <w:sz w:val="20"/>
                <w:szCs w:val="20"/>
              </w:rPr>
              <w:lastRenderedPageBreak/>
              <w:t>Report</w:t>
            </w:r>
          </w:p>
        </w:tc>
        <w:tc>
          <w:tcPr>
            <w:tcW w:w="1437" w:type="pct"/>
            <w:shd w:val="clear" w:color="auto" w:fill="1D9A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31B9" w:rsidRPr="00E86634" w:rsidRDefault="002731B9" w:rsidP="006E5D48">
            <w:pPr>
              <w:jc w:val="center"/>
              <w:rPr>
                <w:sz w:val="20"/>
                <w:szCs w:val="20"/>
              </w:rPr>
            </w:pPr>
            <w:r w:rsidRPr="00E86634">
              <w:rPr>
                <w:b/>
                <w:bCs/>
                <w:sz w:val="20"/>
                <w:szCs w:val="20"/>
              </w:rPr>
              <w:t xml:space="preserve">RW </w:t>
            </w:r>
            <w:r w:rsidR="000C4AE9" w:rsidRPr="00E86634">
              <w:rPr>
                <w:b/>
                <w:bCs/>
                <w:sz w:val="20"/>
                <w:szCs w:val="20"/>
              </w:rPr>
              <w:t xml:space="preserve">Client </w:t>
            </w:r>
            <w:r w:rsidRPr="00E86634">
              <w:rPr>
                <w:b/>
                <w:bCs/>
                <w:sz w:val="20"/>
                <w:szCs w:val="20"/>
              </w:rPr>
              <w:t>Eligibility Record Required</w:t>
            </w:r>
          </w:p>
        </w:tc>
        <w:tc>
          <w:tcPr>
            <w:tcW w:w="1646" w:type="pct"/>
            <w:shd w:val="clear" w:color="auto" w:fill="1D9A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31B9" w:rsidRPr="00E86634" w:rsidRDefault="002731B9" w:rsidP="002731B9">
            <w:pPr>
              <w:jc w:val="center"/>
              <w:rPr>
                <w:sz w:val="20"/>
                <w:szCs w:val="20"/>
              </w:rPr>
            </w:pPr>
            <w:r w:rsidRPr="00E86634">
              <w:rPr>
                <w:b/>
                <w:bCs/>
                <w:sz w:val="20"/>
                <w:szCs w:val="20"/>
              </w:rPr>
              <w:t>Other Selection Criteria</w:t>
            </w:r>
          </w:p>
        </w:tc>
        <w:tc>
          <w:tcPr>
            <w:tcW w:w="927" w:type="pct"/>
            <w:shd w:val="clear" w:color="auto" w:fill="1D9A7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31B9" w:rsidRPr="00E86634" w:rsidRDefault="002731B9" w:rsidP="002731B9">
            <w:pPr>
              <w:jc w:val="center"/>
              <w:rPr>
                <w:sz w:val="20"/>
                <w:szCs w:val="20"/>
              </w:rPr>
            </w:pPr>
            <w:r w:rsidRPr="00E86634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2731B9" w:rsidRPr="00E86634" w:rsidTr="00756DFD">
        <w:trPr>
          <w:trHeight w:val="1007"/>
        </w:trPr>
        <w:tc>
          <w:tcPr>
            <w:tcW w:w="991" w:type="pct"/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31B9" w:rsidRPr="00E86634" w:rsidRDefault="002731B9" w:rsidP="006E5D48">
            <w:pPr>
              <w:jc w:val="center"/>
              <w:rPr>
                <w:sz w:val="20"/>
                <w:szCs w:val="20"/>
              </w:rPr>
            </w:pPr>
            <w:r w:rsidRPr="00E86634">
              <w:rPr>
                <w:sz w:val="20"/>
                <w:szCs w:val="20"/>
              </w:rPr>
              <w:t>EHE</w:t>
            </w:r>
          </w:p>
        </w:tc>
        <w:tc>
          <w:tcPr>
            <w:tcW w:w="1437" w:type="pct"/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D48" w:rsidRPr="00E86634" w:rsidRDefault="006E5D48" w:rsidP="006E5D48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E86634">
              <w:rPr>
                <w:sz w:val="20"/>
                <w:szCs w:val="20"/>
              </w:rPr>
              <w:t>Yes: To get in RSR</w:t>
            </w:r>
          </w:p>
          <w:p w:rsidR="00E35CB8" w:rsidRPr="00E86634" w:rsidRDefault="00225D56" w:rsidP="006E5D48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E86634">
              <w:rPr>
                <w:sz w:val="20"/>
                <w:szCs w:val="20"/>
              </w:rPr>
              <w:t>Not required for EHE report</w:t>
            </w:r>
          </w:p>
        </w:tc>
        <w:tc>
          <w:tcPr>
            <w:tcW w:w="1646" w:type="pct"/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CB8" w:rsidRPr="00E86634" w:rsidRDefault="00225D56" w:rsidP="002731B9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86634">
              <w:rPr>
                <w:sz w:val="20"/>
                <w:szCs w:val="20"/>
              </w:rPr>
              <w:t>Any HIV positive client</w:t>
            </w:r>
          </w:p>
          <w:p w:rsidR="00E35CB8" w:rsidRPr="00E86634" w:rsidRDefault="00225D56" w:rsidP="002731B9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86634">
              <w:rPr>
                <w:sz w:val="20"/>
                <w:szCs w:val="20"/>
              </w:rPr>
              <w:t>EHE Service RWHAP-funded</w:t>
            </w:r>
          </w:p>
        </w:tc>
        <w:tc>
          <w:tcPr>
            <w:tcW w:w="927" w:type="pct"/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31B9" w:rsidRPr="00E86634" w:rsidRDefault="002731B9" w:rsidP="002731B9">
            <w:pPr>
              <w:rPr>
                <w:sz w:val="20"/>
                <w:szCs w:val="20"/>
              </w:rPr>
            </w:pPr>
          </w:p>
        </w:tc>
      </w:tr>
      <w:tr w:rsidR="002731B9" w:rsidRPr="00E86634" w:rsidTr="00443322">
        <w:trPr>
          <w:trHeight w:val="2644"/>
        </w:trPr>
        <w:tc>
          <w:tcPr>
            <w:tcW w:w="991" w:type="pct"/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31B9" w:rsidRPr="00E86634" w:rsidRDefault="002731B9" w:rsidP="006E5D48">
            <w:pPr>
              <w:jc w:val="center"/>
              <w:rPr>
                <w:sz w:val="20"/>
                <w:szCs w:val="20"/>
              </w:rPr>
            </w:pPr>
            <w:r w:rsidRPr="00E86634">
              <w:rPr>
                <w:sz w:val="20"/>
                <w:szCs w:val="20"/>
              </w:rPr>
              <w:t>RSR</w:t>
            </w:r>
          </w:p>
        </w:tc>
        <w:tc>
          <w:tcPr>
            <w:tcW w:w="1437" w:type="pct"/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31B9" w:rsidRPr="00E86634" w:rsidRDefault="002731B9" w:rsidP="006E5D48">
            <w:pPr>
              <w:jc w:val="center"/>
              <w:rPr>
                <w:sz w:val="20"/>
                <w:szCs w:val="20"/>
              </w:rPr>
            </w:pPr>
            <w:r w:rsidRPr="00E86634">
              <w:rPr>
                <w:sz w:val="20"/>
                <w:szCs w:val="20"/>
              </w:rPr>
              <w:t>YES</w:t>
            </w:r>
            <w:r w:rsidRPr="00E86634">
              <w:rPr>
                <w:sz w:val="20"/>
                <w:szCs w:val="20"/>
              </w:rPr>
              <w:br/>
              <w:t xml:space="preserve"> (must overlap with report period)</w:t>
            </w:r>
          </w:p>
        </w:tc>
        <w:tc>
          <w:tcPr>
            <w:tcW w:w="1646" w:type="pct"/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CB8" w:rsidRPr="00E86634" w:rsidRDefault="00225D56" w:rsidP="002731B9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86634">
              <w:rPr>
                <w:sz w:val="20"/>
                <w:szCs w:val="20"/>
              </w:rPr>
              <w:t>HIV Positive/indeterminate</w:t>
            </w:r>
          </w:p>
          <w:p w:rsidR="00E35CB8" w:rsidRPr="00E86634" w:rsidRDefault="00225D56" w:rsidP="002731B9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86634">
              <w:rPr>
                <w:sz w:val="20"/>
                <w:szCs w:val="20"/>
              </w:rPr>
              <w:t>RWHAP-eligible Service within report period or</w:t>
            </w:r>
          </w:p>
          <w:p w:rsidR="00E35CB8" w:rsidRPr="00E86634" w:rsidRDefault="00225D56" w:rsidP="002731B9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86634">
              <w:rPr>
                <w:sz w:val="20"/>
                <w:szCs w:val="20"/>
              </w:rPr>
              <w:t>HIV negatives in Part D program and linked to HIV Pos index client</w:t>
            </w:r>
          </w:p>
        </w:tc>
        <w:tc>
          <w:tcPr>
            <w:tcW w:w="927" w:type="pct"/>
            <w:shd w:val="clear" w:color="auto" w:fill="E7E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31B9" w:rsidRPr="00E86634" w:rsidRDefault="002731B9" w:rsidP="002731B9">
            <w:pPr>
              <w:rPr>
                <w:sz w:val="20"/>
                <w:szCs w:val="20"/>
              </w:rPr>
            </w:pPr>
            <w:r w:rsidRPr="00E86634">
              <w:rPr>
                <w:sz w:val="20"/>
                <w:szCs w:val="20"/>
              </w:rPr>
              <w:t>Minimum build for 2020 RSR: #94</w:t>
            </w:r>
          </w:p>
        </w:tc>
      </w:tr>
      <w:tr w:rsidR="002731B9" w:rsidRPr="00E86634" w:rsidTr="00443322">
        <w:trPr>
          <w:trHeight w:val="1132"/>
        </w:trPr>
        <w:tc>
          <w:tcPr>
            <w:tcW w:w="991" w:type="pct"/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31B9" w:rsidRPr="00E86634" w:rsidRDefault="002731B9" w:rsidP="006E5D48">
            <w:pPr>
              <w:jc w:val="center"/>
              <w:rPr>
                <w:sz w:val="20"/>
                <w:szCs w:val="20"/>
              </w:rPr>
            </w:pPr>
            <w:r w:rsidRPr="00E86634">
              <w:rPr>
                <w:sz w:val="20"/>
                <w:szCs w:val="20"/>
              </w:rPr>
              <w:t>CDR</w:t>
            </w:r>
          </w:p>
        </w:tc>
        <w:tc>
          <w:tcPr>
            <w:tcW w:w="1437" w:type="pct"/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31B9" w:rsidRPr="00E86634" w:rsidRDefault="002731B9" w:rsidP="006E5D48">
            <w:pPr>
              <w:jc w:val="center"/>
              <w:rPr>
                <w:sz w:val="20"/>
                <w:szCs w:val="20"/>
              </w:rPr>
            </w:pPr>
            <w:r w:rsidRPr="00E86634">
              <w:rPr>
                <w:sz w:val="20"/>
                <w:szCs w:val="20"/>
              </w:rPr>
              <w:t>No</w:t>
            </w:r>
          </w:p>
        </w:tc>
        <w:tc>
          <w:tcPr>
            <w:tcW w:w="1646" w:type="pct"/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5CB8" w:rsidRPr="00E86634" w:rsidRDefault="00225D56" w:rsidP="00853C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6634">
              <w:rPr>
                <w:sz w:val="20"/>
                <w:szCs w:val="20"/>
              </w:rPr>
              <w:t xml:space="preserve">Must have </w:t>
            </w:r>
            <w:r w:rsidR="00853C22" w:rsidRPr="00E86634">
              <w:rPr>
                <w:sz w:val="20"/>
                <w:szCs w:val="20"/>
              </w:rPr>
              <w:t>service funded by CARES Act cont</w:t>
            </w:r>
            <w:r w:rsidRPr="00E86634">
              <w:rPr>
                <w:sz w:val="20"/>
                <w:szCs w:val="20"/>
              </w:rPr>
              <w:t>ract</w:t>
            </w:r>
          </w:p>
        </w:tc>
        <w:tc>
          <w:tcPr>
            <w:tcW w:w="927" w:type="pct"/>
            <w:shd w:val="clear" w:color="auto" w:fill="CCDE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31B9" w:rsidRPr="00E86634" w:rsidRDefault="002731B9" w:rsidP="002731B9">
            <w:pPr>
              <w:rPr>
                <w:sz w:val="20"/>
                <w:szCs w:val="20"/>
              </w:rPr>
            </w:pPr>
            <w:r w:rsidRPr="00E86634">
              <w:rPr>
                <w:sz w:val="20"/>
                <w:szCs w:val="20"/>
              </w:rPr>
              <w:t>Can use custom filter to restrict further</w:t>
            </w:r>
          </w:p>
        </w:tc>
      </w:tr>
    </w:tbl>
    <w:p w:rsidR="00A30535" w:rsidRDefault="00A30535">
      <w:r>
        <w:br w:type="page"/>
      </w:r>
    </w:p>
    <w:p w:rsidR="00B84CAC" w:rsidRDefault="00B84CAC" w:rsidP="00AF05B1">
      <w:pPr>
        <w:pStyle w:val="ListParagraph"/>
        <w:numPr>
          <w:ilvl w:val="0"/>
          <w:numId w:val="8"/>
        </w:numPr>
      </w:pPr>
      <w:r>
        <w:t xml:space="preserve">And remember </w:t>
      </w:r>
      <w:r w:rsidR="007C0F96">
        <w:t>that for a service to be considered for inclusion in the RSR, it</w:t>
      </w:r>
      <w:r>
        <w:t xml:space="preserve"> must be in a contract that h</w:t>
      </w:r>
      <w:r w:rsidR="007C0F96">
        <w:t>as RWHAP funding</w:t>
      </w:r>
      <w:r>
        <w:t>. It is easy to set contract funding sources</w:t>
      </w:r>
      <w:r w:rsidR="007C0F96">
        <w:t xml:space="preserve"> (even after the services have been entered)</w:t>
      </w:r>
      <w:r>
        <w:t>, as shown here:</w:t>
      </w:r>
    </w:p>
    <w:p w:rsidR="00B84CAC" w:rsidRDefault="00B84CAC" w:rsidP="001075C5">
      <w:pPr>
        <w:ind w:left="360"/>
      </w:pPr>
      <w:r>
        <w:rPr>
          <w:noProof/>
        </w:rPr>
        <w:drawing>
          <wp:inline distT="0" distB="0" distL="0" distR="0" wp14:anchorId="02C56911" wp14:editId="3EBCC519">
            <wp:extent cx="5629275" cy="3829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535" w:rsidRDefault="00A30535" w:rsidP="001075C5">
      <w:pPr>
        <w:ind w:left="360"/>
      </w:pPr>
    </w:p>
    <w:p w:rsidR="00A30535" w:rsidRDefault="00A30535" w:rsidP="001075C5">
      <w:pPr>
        <w:ind w:left="360"/>
      </w:pPr>
    </w:p>
    <w:p w:rsidR="00853474" w:rsidRPr="002B04E6" w:rsidRDefault="00853474" w:rsidP="00A30535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b/>
        </w:rPr>
      </w:pPr>
      <w:r w:rsidRPr="002B04E6">
        <w:rPr>
          <w:b/>
        </w:rPr>
        <w:t xml:space="preserve">EHE Report: Accessed From the main reports link: </w:t>
      </w:r>
    </w:p>
    <w:p w:rsidR="00853474" w:rsidRDefault="00853474" w:rsidP="00853474">
      <w:pPr>
        <w:pStyle w:val="ListParagraph"/>
        <w:numPr>
          <w:ilvl w:val="0"/>
          <w:numId w:val="3"/>
        </w:numPr>
      </w:pPr>
      <w:r>
        <w:t>Set the year and Trimester of interest</w:t>
      </w:r>
      <w:r w:rsidR="002B04E6">
        <w:t xml:space="preserve"> and then </w:t>
      </w:r>
      <w:r w:rsidR="004252C5">
        <w:t xml:space="preserve">select </w:t>
      </w:r>
      <w:r w:rsidR="002B04E6">
        <w:t>Run</w:t>
      </w:r>
    </w:p>
    <w:p w:rsidR="00C74BB3" w:rsidRDefault="00C74BB3" w:rsidP="00853474">
      <w:pPr>
        <w:pStyle w:val="ListParagraph"/>
        <w:numPr>
          <w:ilvl w:val="0"/>
          <w:numId w:val="3"/>
        </w:numPr>
      </w:pPr>
      <w:r>
        <w:t>Remember that all HIV positive clients with or without an eligibility record will be included.</w:t>
      </w:r>
    </w:p>
    <w:p w:rsidR="00853474" w:rsidRDefault="00853474" w:rsidP="00853474">
      <w:pPr>
        <w:pStyle w:val="ListParagraph"/>
      </w:pPr>
      <w:r>
        <w:rPr>
          <w:noProof/>
        </w:rPr>
        <w:drawing>
          <wp:inline distT="0" distB="0" distL="0" distR="0" wp14:anchorId="48F3FDB1" wp14:editId="166F44D1">
            <wp:extent cx="3600450" cy="2181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E6" w:rsidRDefault="002B04E6" w:rsidP="00853474">
      <w:pPr>
        <w:pStyle w:val="ListParagraph"/>
      </w:pPr>
    </w:p>
    <w:p w:rsidR="002B04E6" w:rsidRDefault="002B04E6" w:rsidP="00853474">
      <w:pPr>
        <w:pStyle w:val="ListParagraph"/>
      </w:pPr>
      <w:r>
        <w:rPr>
          <w:noProof/>
        </w:rPr>
        <w:drawing>
          <wp:inline distT="0" distB="0" distL="0" distR="0" wp14:anchorId="11A1B3F1" wp14:editId="425D8AD9">
            <wp:extent cx="5943600" cy="42157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3E6" w:rsidRDefault="005803E6" w:rsidP="00853474">
      <w:pPr>
        <w:pStyle w:val="ListParagraph"/>
      </w:pPr>
    </w:p>
    <w:p w:rsidR="00FC5A2D" w:rsidRDefault="005803E6" w:rsidP="00FC5A2D">
      <w:pPr>
        <w:pStyle w:val="ListParagraph"/>
        <w:numPr>
          <w:ilvl w:val="0"/>
          <w:numId w:val="9"/>
        </w:numPr>
      </w:pPr>
      <w:r>
        <w:t>Select a service category and then “View Client List” in the action bar to see which clients are being counted for this service.</w:t>
      </w:r>
      <w:r w:rsidR="00FC5A2D">
        <w:t xml:space="preserve">  You can jump directly to the client’s record.</w:t>
      </w:r>
      <w:r w:rsidR="00FC5A2D">
        <w:br/>
      </w:r>
      <w:r w:rsidR="00FC5A2D">
        <w:br/>
      </w:r>
    </w:p>
    <w:p w:rsidR="00FC5A2D" w:rsidRDefault="00FC5A2D">
      <w:r>
        <w:br w:type="page"/>
      </w:r>
    </w:p>
    <w:p w:rsidR="00B93B44" w:rsidRPr="00B93B44" w:rsidRDefault="00B93B44" w:rsidP="00A30535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b/>
        </w:rPr>
      </w:pPr>
      <w:r w:rsidRPr="00B93B44">
        <w:rPr>
          <w:b/>
        </w:rPr>
        <w:t xml:space="preserve">COVID-19 Data Report (CDR): </w:t>
      </w:r>
      <w:r w:rsidR="00A30535">
        <w:rPr>
          <w:b/>
        </w:rPr>
        <w:t xml:space="preserve">CARES Act </w:t>
      </w:r>
    </w:p>
    <w:p w:rsidR="00C74BB3" w:rsidRDefault="00213062" w:rsidP="00B93B44">
      <w:pPr>
        <w:pStyle w:val="ListParagraph"/>
        <w:numPr>
          <w:ilvl w:val="0"/>
          <w:numId w:val="4"/>
        </w:numPr>
      </w:pPr>
      <w:r>
        <w:t xml:space="preserve">Run a </w:t>
      </w:r>
      <w:r w:rsidR="00B93B44">
        <w:t>Financial Report and set the funding source filter properly</w:t>
      </w:r>
    </w:p>
    <w:p w:rsidR="00B93B44" w:rsidRDefault="00B93B44" w:rsidP="00B93B44">
      <w:pPr>
        <w:pStyle w:val="ListParagraph"/>
        <w:numPr>
          <w:ilvl w:val="0"/>
          <w:numId w:val="4"/>
        </w:numPr>
      </w:pPr>
      <w:r>
        <w:t>You will need to have had a contract that has an identifiable CARES Act source of funding</w:t>
      </w:r>
      <w:r w:rsidR="005171EF">
        <w:t>. Here we created a funding source called “COVID.”</w:t>
      </w:r>
    </w:p>
    <w:p w:rsidR="00B93B44" w:rsidRDefault="00B93B44" w:rsidP="00B93B44">
      <w:r>
        <w:rPr>
          <w:noProof/>
        </w:rPr>
        <w:drawing>
          <wp:inline distT="0" distB="0" distL="0" distR="0" wp14:anchorId="3618BF6A" wp14:editId="60AD1330">
            <wp:extent cx="5076825" cy="2667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B44" w:rsidRDefault="00B93B44" w:rsidP="00B93B44">
      <w:pPr>
        <w:pStyle w:val="ListParagraph"/>
        <w:ind w:left="1440"/>
      </w:pPr>
    </w:p>
    <w:p w:rsidR="00B93B44" w:rsidRDefault="00B93B44" w:rsidP="00B93B44">
      <w:r>
        <w:rPr>
          <w:noProof/>
        </w:rPr>
        <w:drawing>
          <wp:inline distT="0" distB="0" distL="0" distR="0" wp14:anchorId="256F8B7F" wp14:editId="61ED4710">
            <wp:extent cx="5943600" cy="41516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03" w:rsidRPr="001E78B0" w:rsidRDefault="00F04403" w:rsidP="00F04403">
      <w:pPr>
        <w:pStyle w:val="ListParagraph"/>
        <w:numPr>
          <w:ilvl w:val="0"/>
          <w:numId w:val="1"/>
        </w:numPr>
        <w:rPr>
          <w:b/>
        </w:rPr>
      </w:pPr>
      <w:r w:rsidRPr="001E78B0">
        <w:rPr>
          <w:b/>
        </w:rPr>
        <w:t>Running the RSR</w:t>
      </w:r>
      <w:r w:rsidR="001E78B0">
        <w:rPr>
          <w:b/>
        </w:rPr>
        <w:br/>
      </w:r>
    </w:p>
    <w:p w:rsidR="00F04403" w:rsidRDefault="00F04403" w:rsidP="00F04403">
      <w:pPr>
        <w:pStyle w:val="ListParagraph"/>
        <w:numPr>
          <w:ilvl w:val="0"/>
          <w:numId w:val="5"/>
        </w:numPr>
      </w:pPr>
      <w:r>
        <w:t xml:space="preserve">To run the 2020 RSR, </w:t>
      </w:r>
      <w:r w:rsidRPr="001E78B0">
        <w:rPr>
          <w:b/>
          <w:i/>
        </w:rPr>
        <w:t>you’ll first need to install build 94</w:t>
      </w:r>
      <w:r>
        <w:t xml:space="preserve"> (or later)!</w:t>
      </w:r>
    </w:p>
    <w:p w:rsidR="000979A1" w:rsidRDefault="00F04403" w:rsidP="000638E1">
      <w:pPr>
        <w:pStyle w:val="ListParagraph"/>
        <w:numPr>
          <w:ilvl w:val="0"/>
          <w:numId w:val="5"/>
        </w:numPr>
      </w:pPr>
      <w:r>
        <w:t xml:space="preserve">As noted above, it’s always good to check that you’ve given an eligibility record to each client that should be included in the RSR.  </w:t>
      </w:r>
    </w:p>
    <w:p w:rsidR="006223FE" w:rsidRDefault="00F04403" w:rsidP="001E78B0">
      <w:pPr>
        <w:pStyle w:val="ListParagraph"/>
        <w:numPr>
          <w:ilvl w:val="0"/>
          <w:numId w:val="5"/>
        </w:numPr>
      </w:pPr>
      <w:r>
        <w:t xml:space="preserve">One quick way to generate a </w:t>
      </w:r>
      <w:r w:rsidR="00B640A6">
        <w:t xml:space="preserve">lookup </w:t>
      </w:r>
      <w:r>
        <w:t xml:space="preserve">list of clients that had a service in 2020 but </w:t>
      </w:r>
      <w:r w:rsidR="00857833">
        <w:t>lack</w:t>
      </w:r>
      <w:r>
        <w:t xml:space="preserve"> an </w:t>
      </w:r>
      <w:r w:rsidR="00B640A6">
        <w:t>e</w:t>
      </w:r>
      <w:r>
        <w:t>ligibility record is to create a performance measure to do this.</w:t>
      </w:r>
      <w:r w:rsidR="000979A1">
        <w:t xml:space="preserve"> For the denominator, us</w:t>
      </w:r>
      <w:r w:rsidR="00B640A6">
        <w:t>e</w:t>
      </w:r>
      <w:r w:rsidR="000979A1">
        <w:t xml:space="preserve"> th</w:t>
      </w:r>
      <w:r w:rsidR="00B640A6">
        <w:t>e</w:t>
      </w:r>
      <w:r w:rsidR="000979A1">
        <w:t xml:space="preserve"> field “</w:t>
      </w:r>
      <w:r w:rsidR="000979A1" w:rsidRPr="00B640A6">
        <w:rPr>
          <w:b/>
          <w:i/>
        </w:rPr>
        <w:t>Has RW  funded Service in Span</w:t>
      </w:r>
      <w:r w:rsidR="000979A1">
        <w:t>” and for the numerator</w:t>
      </w:r>
      <w:r w:rsidR="001E78B0">
        <w:t xml:space="preserve"> try</w:t>
      </w:r>
      <w:r w:rsidR="000979A1">
        <w:t xml:space="preserve"> “Last eligibility field.”  Set the criterion equal to “NULL” which is the same as missing.</w:t>
      </w:r>
      <w:r w:rsidR="001E78B0">
        <w:br/>
      </w:r>
    </w:p>
    <w:p w:rsidR="004333B5" w:rsidRDefault="00365A8E" w:rsidP="004333B5">
      <w:pPr>
        <w:pStyle w:val="ListParagraph"/>
        <w:numPr>
          <w:ilvl w:val="0"/>
          <w:numId w:val="6"/>
        </w:numPr>
      </w:pPr>
      <w:r>
        <w:t>Run your RSR here as shown i</w:t>
      </w:r>
      <w:r w:rsidR="004333B5">
        <w:t>n th</w:t>
      </w:r>
      <w:r w:rsidR="00CD5953">
        <w:t>e</w:t>
      </w:r>
      <w:r w:rsidR="004333B5">
        <w:t xml:space="preserve"> screen</w:t>
      </w:r>
      <w:r w:rsidR="00CD5953">
        <w:t xml:space="preserve"> shot</w:t>
      </w:r>
      <w:r w:rsidR="004333B5">
        <w:t xml:space="preserve"> below</w:t>
      </w:r>
    </w:p>
    <w:p w:rsidR="004333B5" w:rsidRPr="00CD5953" w:rsidRDefault="004333B5" w:rsidP="004333B5">
      <w:pPr>
        <w:pStyle w:val="ListParagraph"/>
        <w:numPr>
          <w:ilvl w:val="0"/>
          <w:numId w:val="6"/>
        </w:numPr>
        <w:rPr>
          <w:i/>
        </w:rPr>
      </w:pPr>
      <w:r>
        <w:t>The settings “Cross provider Labs (CD4 and viral load) and “</w:t>
      </w:r>
      <w:r w:rsidR="00527337">
        <w:t xml:space="preserve">Cross provider </w:t>
      </w:r>
      <w:r>
        <w:t xml:space="preserve">ART” allow you to grab values for those fields </w:t>
      </w:r>
      <w:r w:rsidRPr="00CD5953">
        <w:rPr>
          <w:i/>
        </w:rPr>
        <w:t xml:space="preserve">if any of your clients were seen at another provider and these data were entered </w:t>
      </w:r>
      <w:r w:rsidR="00CD5953">
        <w:rPr>
          <w:i/>
        </w:rPr>
        <w:t>at that location</w:t>
      </w:r>
      <w:r w:rsidRPr="00CD5953">
        <w:rPr>
          <w:i/>
        </w:rPr>
        <w:t>;</w:t>
      </w:r>
    </w:p>
    <w:p w:rsidR="0067048A" w:rsidRDefault="004333B5" w:rsidP="0067048A">
      <w:pPr>
        <w:pStyle w:val="ListParagraph"/>
        <w:numPr>
          <w:ilvl w:val="0"/>
          <w:numId w:val="6"/>
        </w:numPr>
      </w:pPr>
      <w:r>
        <w:t xml:space="preserve">Save the RSR output file to an easy to find location such as your desktop and give it an obvious </w:t>
      </w:r>
      <w:r w:rsidR="0067048A">
        <w:t>name</w:t>
      </w:r>
      <w:r>
        <w:t xml:space="preserve"> like “RSR  for Provider X </w:t>
      </w:r>
      <w:r w:rsidR="00365A8E">
        <w:t>10-30-</w:t>
      </w:r>
      <w:r>
        <w:t>2020”.</w:t>
      </w:r>
      <w:r w:rsidR="00A75975">
        <w:t xml:space="preserve"> </w:t>
      </w:r>
      <w:r w:rsidR="0067048A">
        <w:br/>
      </w:r>
    </w:p>
    <w:p w:rsidR="004333B5" w:rsidRDefault="006223FE" w:rsidP="0067048A">
      <w:pPr>
        <w:ind w:left="360"/>
        <w:jc w:val="center"/>
      </w:pPr>
      <w:r>
        <w:rPr>
          <w:noProof/>
        </w:rPr>
        <w:drawing>
          <wp:inline distT="0" distB="0" distL="0" distR="0" wp14:anchorId="71C40785" wp14:editId="1BB3F558">
            <wp:extent cx="3848100" cy="213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DF2" w:rsidRDefault="004333B5" w:rsidP="004333B5">
      <w:pPr>
        <w:pStyle w:val="ListParagraph"/>
        <w:numPr>
          <w:ilvl w:val="0"/>
          <w:numId w:val="7"/>
        </w:numPr>
      </w:pPr>
      <w:r>
        <w:t xml:space="preserve">Next, use the </w:t>
      </w:r>
      <w:r w:rsidRPr="00CB6DF2">
        <w:rPr>
          <w:b/>
        </w:rPr>
        <w:t>RSR viewer</w:t>
      </w:r>
      <w:r>
        <w:t xml:space="preserve"> to revie</w:t>
      </w:r>
      <w:r w:rsidR="00CB6DF2">
        <w:t>w the counts for each field and</w:t>
      </w:r>
      <w:r>
        <w:t xml:space="preserve">, if </w:t>
      </w:r>
      <w:r w:rsidR="00CB6DF2">
        <w:t>helpful</w:t>
      </w:r>
      <w:r>
        <w:t>, go directly to specif</w:t>
      </w:r>
      <w:r w:rsidR="00CB6DF2">
        <w:t>ic clients and view their record</w:t>
      </w:r>
      <w:r>
        <w:t xml:space="preserve">s. </w:t>
      </w:r>
    </w:p>
    <w:p w:rsidR="00CB6DF2" w:rsidRDefault="00CB6DF2" w:rsidP="004333B5">
      <w:pPr>
        <w:pStyle w:val="ListParagraph"/>
        <w:numPr>
          <w:ilvl w:val="0"/>
          <w:numId w:val="7"/>
        </w:numPr>
      </w:pPr>
      <w:r>
        <w:t xml:space="preserve">The RSR validation report will also help you isolate records that may </w:t>
      </w:r>
      <w:r w:rsidR="00F504AC">
        <w:t>have</w:t>
      </w:r>
      <w:r>
        <w:t xml:space="preserve"> missing data. </w:t>
      </w:r>
    </w:p>
    <w:p w:rsidR="00CB6DF2" w:rsidRDefault="00CB6DF2" w:rsidP="004333B5">
      <w:pPr>
        <w:pStyle w:val="ListParagraph"/>
        <w:numPr>
          <w:ilvl w:val="0"/>
          <w:numId w:val="7"/>
        </w:numPr>
      </w:pPr>
      <w:r>
        <w:t>Both the viewer and validation are excellent ways to clean up your data before submitting your final RSR.</w:t>
      </w:r>
    </w:p>
    <w:p w:rsidR="00C32456" w:rsidRPr="00C32456" w:rsidRDefault="00C32456" w:rsidP="00C32456">
      <w:pPr>
        <w:pStyle w:val="ListParagraph"/>
        <w:numPr>
          <w:ilvl w:val="0"/>
          <w:numId w:val="7"/>
        </w:numPr>
        <w:rPr>
          <w:b/>
          <w:i/>
        </w:rPr>
      </w:pPr>
      <w:r>
        <w:t>When you are done cleaning everything up or filling in missing data (if needed), rerun the RSR (maybe rename the file so you know it is the final version</w:t>
      </w:r>
      <w:r w:rsidR="00F504AC">
        <w:t xml:space="preserve"> and date</w:t>
      </w:r>
      <w:r>
        <w:t xml:space="preserve">); </w:t>
      </w:r>
      <w:r w:rsidRPr="00C32456">
        <w:rPr>
          <w:b/>
          <w:i/>
        </w:rPr>
        <w:t>this is the XML file that you will upload to the HRSA website.</w:t>
      </w:r>
    </w:p>
    <w:p w:rsidR="00C32456" w:rsidRDefault="00C32456" w:rsidP="00C32456">
      <w:pPr>
        <w:pStyle w:val="ListParagraph"/>
      </w:pPr>
    </w:p>
    <w:p w:rsidR="00587CA3" w:rsidRDefault="00587CA3" w:rsidP="00C32456">
      <w:pPr>
        <w:pStyle w:val="ListParagraph"/>
      </w:pPr>
      <w:r>
        <w:t>The example below shows a validation report with a few demographic values missing.</w:t>
      </w:r>
    </w:p>
    <w:p w:rsidR="00F04403" w:rsidRDefault="003E314C" w:rsidP="003E314C">
      <w:r>
        <w:rPr>
          <w:noProof/>
        </w:rPr>
        <w:drawing>
          <wp:inline distT="0" distB="0" distL="0" distR="0" wp14:anchorId="3339B890" wp14:editId="648F9191">
            <wp:extent cx="5943600" cy="3119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8B0">
        <w:br/>
      </w:r>
    </w:p>
    <w:p w:rsidR="008C7A0F" w:rsidRDefault="008C7A0F" w:rsidP="008C7A0F">
      <w:pPr>
        <w:pStyle w:val="ListParagraph"/>
        <w:numPr>
          <w:ilvl w:val="0"/>
          <w:numId w:val="1"/>
        </w:numPr>
        <w:pBdr>
          <w:bottom w:val="single" w:sz="4" w:space="1" w:color="auto"/>
        </w:pBdr>
      </w:pPr>
      <w:r>
        <w:t>Provider and Client Summaries</w:t>
      </w:r>
    </w:p>
    <w:p w:rsidR="008A6667" w:rsidRDefault="008C7A0F" w:rsidP="003E314C">
      <w:r>
        <w:t>Ne</w:t>
      </w:r>
      <w:r w:rsidR="00525F87">
        <w:t>w to CAREWare are Provider and C</w:t>
      </w:r>
      <w:r>
        <w:t>lient summary screens that allow you to graphically display performance measures</w:t>
      </w:r>
      <w:r w:rsidR="00743703">
        <w:t xml:space="preserve"> (for Providers) and line graphs of quantitative labs (e.g. viral loads, CD4 counts, etc) for cients</w:t>
      </w:r>
      <w:r>
        <w:t>.</w:t>
      </w:r>
      <w:r>
        <w:br/>
      </w:r>
    </w:p>
    <w:p w:rsidR="008C7A0F" w:rsidRDefault="008C7A0F" w:rsidP="003E314C">
      <w:r>
        <w:t xml:space="preserve">The setup for these summary screens is accessed from </w:t>
      </w:r>
      <w:r w:rsidRPr="00525F87">
        <w:rPr>
          <w:b/>
          <w:i/>
        </w:rPr>
        <w:t>Central Administration</w:t>
      </w:r>
      <w:r>
        <w:t>.</w:t>
      </w:r>
    </w:p>
    <w:p w:rsidR="008C7A0F" w:rsidRDefault="00AF0D71" w:rsidP="003E314C">
      <w:r>
        <w:t>The basic steps are as follows:</w:t>
      </w:r>
    </w:p>
    <w:p w:rsidR="00AF0D71" w:rsidRPr="00B2217F" w:rsidRDefault="00587CA3" w:rsidP="00B2217F">
      <w:pPr>
        <w:pStyle w:val="ListParagraph"/>
        <w:numPr>
          <w:ilvl w:val="0"/>
          <w:numId w:val="10"/>
        </w:numPr>
        <w:rPr>
          <w:b/>
          <w:i/>
        </w:rPr>
      </w:pPr>
      <w:r>
        <w:t xml:space="preserve">For </w:t>
      </w:r>
      <w:r w:rsidRPr="00587CA3">
        <w:rPr>
          <w:b/>
        </w:rPr>
        <w:t>Provider summaries</w:t>
      </w:r>
      <w:r>
        <w:t>, c</w:t>
      </w:r>
      <w:r w:rsidR="00AF0D71">
        <w:t xml:space="preserve">reate new or use existing performance measures: Performance measures are created or modified here: </w:t>
      </w:r>
      <w:r w:rsidR="00AF0D71" w:rsidRPr="00B2217F">
        <w:rPr>
          <w:b/>
          <w:i/>
        </w:rPr>
        <w:t xml:space="preserve">Reports &gt; Performance Measures </w:t>
      </w:r>
      <w:r w:rsidR="00B2217F">
        <w:rPr>
          <w:b/>
          <w:i/>
        </w:rPr>
        <w:br/>
      </w:r>
    </w:p>
    <w:p w:rsidR="00AF0D71" w:rsidRPr="00B2217F" w:rsidRDefault="00AF0D71" w:rsidP="00B2217F">
      <w:pPr>
        <w:pStyle w:val="ListParagraph"/>
        <w:numPr>
          <w:ilvl w:val="0"/>
          <w:numId w:val="10"/>
        </w:numPr>
        <w:rPr>
          <w:b/>
          <w:i/>
        </w:rPr>
      </w:pPr>
      <w:r>
        <w:t xml:space="preserve">Create a </w:t>
      </w:r>
      <w:r w:rsidRPr="00B2217F">
        <w:rPr>
          <w:b/>
          <w:i/>
        </w:rPr>
        <w:t>summary group</w:t>
      </w:r>
      <w:r>
        <w:t xml:space="preserve"> that will “house” the measures of interest; assign this group to the Provider(s) where you want these to appear. Provider summary groups are created here: </w:t>
      </w:r>
      <w:r w:rsidRPr="00B2217F">
        <w:rPr>
          <w:b/>
          <w:i/>
        </w:rPr>
        <w:t>Administrative Options &gt; Custom Feature Setup &gt; Provider Summary</w:t>
      </w:r>
      <w:r w:rsidR="00B2217F">
        <w:rPr>
          <w:b/>
          <w:i/>
        </w:rPr>
        <w:br/>
      </w:r>
    </w:p>
    <w:p w:rsidR="00B2217F" w:rsidRDefault="00AF0D71" w:rsidP="00B2217F">
      <w:pPr>
        <w:pStyle w:val="ListParagraph"/>
        <w:numPr>
          <w:ilvl w:val="0"/>
          <w:numId w:val="10"/>
        </w:numPr>
      </w:pPr>
      <w:r>
        <w:t>Create and configure the charts and their properties so they have the look you want (titles, colors, fonts) and</w:t>
      </w:r>
      <w:r w:rsidR="00525F87">
        <w:t xml:space="preserve"> select the chart</w:t>
      </w:r>
      <w:r>
        <w:t xml:space="preserve"> type</w:t>
      </w:r>
      <w:r w:rsidR="00525F87">
        <w:t>s</w:t>
      </w:r>
      <w:r>
        <w:t xml:space="preserve">. </w:t>
      </w:r>
    </w:p>
    <w:p w:rsidR="00B2217F" w:rsidRDefault="00AF0D71" w:rsidP="00B2217F">
      <w:pPr>
        <w:pStyle w:val="ListParagraph"/>
        <w:numPr>
          <w:ilvl w:val="1"/>
          <w:numId w:val="10"/>
        </w:numPr>
      </w:pPr>
      <w:r>
        <w:t xml:space="preserve">For </w:t>
      </w:r>
      <w:r w:rsidRPr="00617E07">
        <w:rPr>
          <w:b/>
        </w:rPr>
        <w:t>provider level</w:t>
      </w:r>
      <w:r>
        <w:t xml:space="preserve"> summaries you can select Bar or Pie Charts</w:t>
      </w:r>
      <w:r w:rsidR="0011111A">
        <w:t xml:space="preserve"> (e.g. showing the percent of all clients that are virally suppressed or with high cholesterol)</w:t>
      </w:r>
      <w:r>
        <w:t xml:space="preserve">; </w:t>
      </w:r>
    </w:p>
    <w:p w:rsidR="00B2217F" w:rsidRDefault="00B2217F" w:rsidP="00B2217F">
      <w:pPr>
        <w:pStyle w:val="ListParagraph"/>
        <w:numPr>
          <w:ilvl w:val="1"/>
          <w:numId w:val="10"/>
        </w:numPr>
      </w:pPr>
      <w:r>
        <w:t>F</w:t>
      </w:r>
      <w:r w:rsidR="00AF0D71">
        <w:t xml:space="preserve">or </w:t>
      </w:r>
      <w:r w:rsidR="00AF0D71" w:rsidRPr="00617E07">
        <w:rPr>
          <w:b/>
        </w:rPr>
        <w:t>client level</w:t>
      </w:r>
      <w:r w:rsidR="00AF0D71">
        <w:t xml:space="preserve"> summaries you can </w:t>
      </w:r>
      <w:r w:rsidR="0011111A">
        <w:t>create</w:t>
      </w:r>
      <w:r w:rsidR="00AF0D71">
        <w:t xml:space="preserve"> longitudinal line graphs</w:t>
      </w:r>
      <w:r w:rsidR="00EC2820">
        <w:t xml:space="preserve"> for any quantitative lab value such as </w:t>
      </w:r>
      <w:r w:rsidR="0011111A">
        <w:t>vi</w:t>
      </w:r>
      <w:r w:rsidR="00EC2820">
        <w:t>ral load or CD4 count</w:t>
      </w:r>
      <w:r>
        <w:br/>
      </w:r>
    </w:p>
    <w:p w:rsidR="00AF0D71" w:rsidRDefault="00525F87" w:rsidP="00B2217F">
      <w:pPr>
        <w:pStyle w:val="ListParagraph"/>
        <w:numPr>
          <w:ilvl w:val="0"/>
          <w:numId w:val="10"/>
        </w:numPr>
      </w:pPr>
      <w:r>
        <w:t>Create or modify</w:t>
      </w:r>
      <w:r w:rsidR="00587CA3">
        <w:t xml:space="preserve"> Provider</w:t>
      </w:r>
      <w:r>
        <w:t xml:space="preserve"> charts here:</w:t>
      </w:r>
    </w:p>
    <w:p w:rsidR="00525F87" w:rsidRDefault="00525F87" w:rsidP="003E314C">
      <w:r>
        <w:rPr>
          <w:noProof/>
        </w:rPr>
        <w:drawing>
          <wp:inline distT="0" distB="0" distL="0" distR="0" wp14:anchorId="2A942E05" wp14:editId="0C44A150">
            <wp:extent cx="5943600" cy="2260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1A" w:rsidRDefault="0011111A" w:rsidP="003E314C">
      <w:r>
        <w:t>If you have made any changes to your graphs/charts, or added new data and want to see the charts redrawn, go</w:t>
      </w:r>
      <w:r w:rsidR="00A5297E">
        <w:t xml:space="preserve"> </w:t>
      </w:r>
      <w:r>
        <w:t>to this location</w:t>
      </w:r>
      <w:r w:rsidR="00617E07">
        <w:t xml:space="preserve"> (as shown in the breadcrumbs below)</w:t>
      </w:r>
      <w:r>
        <w:t>, select the provider of interest, and then in the Action bar select “Recalculate.”</w:t>
      </w:r>
    </w:p>
    <w:p w:rsidR="0011111A" w:rsidRDefault="0011111A" w:rsidP="003E314C">
      <w:r>
        <w:rPr>
          <w:noProof/>
        </w:rPr>
        <w:drawing>
          <wp:inline distT="0" distB="0" distL="0" distR="0" wp14:anchorId="10B8587D" wp14:editId="3196D46F">
            <wp:extent cx="5943600" cy="4152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F87" w:rsidRDefault="00525F87" w:rsidP="003E314C"/>
    <w:p w:rsidR="00AF0D71" w:rsidRDefault="00617E07" w:rsidP="003E314C">
      <w:r>
        <w:t xml:space="preserve">On the provider summary screen itself, below each chart, CAREWare will </w:t>
      </w:r>
      <w:r w:rsidR="007A3AEB">
        <w:t>show the number of clients</w:t>
      </w:r>
      <w:r w:rsidR="00443322">
        <w:t xml:space="preserve"> that are</w:t>
      </w:r>
      <w:r w:rsidR="007A3AEB">
        <w:t xml:space="preserve"> in and </w:t>
      </w:r>
      <w:r w:rsidR="00443322">
        <w:t xml:space="preserve">those that are </w:t>
      </w:r>
      <w:r w:rsidR="007A3AEB">
        <w:t>not in the numerator. These also serve as hyperlinks to show actual lists of the clients themselves; you can jump straight to a specific individual whose record you want to examine.</w:t>
      </w:r>
    </w:p>
    <w:p w:rsidR="0018083D" w:rsidRDefault="0018083D" w:rsidP="003E314C"/>
    <w:p w:rsidR="00587CA3" w:rsidRPr="00587CA3" w:rsidRDefault="00587CA3" w:rsidP="00587CA3">
      <w:pPr>
        <w:pBdr>
          <w:bottom w:val="single" w:sz="4" w:space="1" w:color="auto"/>
        </w:pBdr>
        <w:rPr>
          <w:b/>
        </w:rPr>
      </w:pPr>
      <w:r w:rsidRPr="00587CA3">
        <w:rPr>
          <w:b/>
        </w:rPr>
        <w:t>Client Summary Setup</w:t>
      </w:r>
    </w:p>
    <w:p w:rsidR="00EC2820" w:rsidRDefault="00566FD8" w:rsidP="00EC2820">
      <w:r>
        <w:t xml:space="preserve">Basic steps to create a </w:t>
      </w:r>
      <w:r w:rsidR="0018083D">
        <w:t>Client summary</w:t>
      </w:r>
      <w:r>
        <w:t xml:space="preserve"> line graph</w:t>
      </w:r>
      <w:r w:rsidR="00EC2820">
        <w:t>:</w:t>
      </w:r>
    </w:p>
    <w:p w:rsidR="0018083D" w:rsidRDefault="0018083D" w:rsidP="00EC2820">
      <w:pPr>
        <w:pStyle w:val="ListParagraph"/>
        <w:numPr>
          <w:ilvl w:val="0"/>
          <w:numId w:val="12"/>
        </w:numPr>
      </w:pPr>
      <w:r>
        <w:t>Create New Summary</w:t>
      </w:r>
    </w:p>
    <w:p w:rsidR="0018083D" w:rsidRDefault="00EC2820" w:rsidP="00EC2820">
      <w:pPr>
        <w:pStyle w:val="ListParagraph"/>
        <w:numPr>
          <w:ilvl w:val="0"/>
          <w:numId w:val="12"/>
        </w:numPr>
      </w:pPr>
      <w:r>
        <w:t>Give the summary a name</w:t>
      </w:r>
    </w:p>
    <w:p w:rsidR="00EC2820" w:rsidRDefault="00EC2820" w:rsidP="00EC2820">
      <w:pPr>
        <w:pStyle w:val="ListParagraph"/>
        <w:numPr>
          <w:ilvl w:val="0"/>
          <w:numId w:val="12"/>
        </w:numPr>
      </w:pPr>
      <w:r>
        <w:t>In the form designer screen, Select “Add Control”</w:t>
      </w:r>
    </w:p>
    <w:p w:rsidR="00EC2820" w:rsidRDefault="00EC2820" w:rsidP="00EC2820">
      <w:pPr>
        <w:pStyle w:val="ListParagraph"/>
        <w:numPr>
          <w:ilvl w:val="0"/>
          <w:numId w:val="12"/>
        </w:numPr>
      </w:pPr>
      <w:r>
        <w:t xml:space="preserve">First select “Add Line Graph for </w:t>
      </w:r>
      <w:r w:rsidR="00566FD8">
        <w:t>Quantitative Lab”</w:t>
      </w:r>
      <w:r w:rsidR="00587CA3">
        <w:t xml:space="preserve">. </w:t>
      </w:r>
    </w:p>
    <w:p w:rsidR="00E33D5F" w:rsidRDefault="00566FD8" w:rsidP="00287930">
      <w:pPr>
        <w:pStyle w:val="ListParagraph"/>
        <w:numPr>
          <w:ilvl w:val="0"/>
          <w:numId w:val="12"/>
        </w:numPr>
      </w:pPr>
      <w:r>
        <w:t>This next screen is where all the action is and where the primary properties of the graph are set. We’</w:t>
      </w:r>
      <w:r w:rsidR="00E33D5F">
        <w:t>ll focus here on the main items. Here we’ll create a graph of the client’s viral load values in the last year.</w:t>
      </w:r>
    </w:p>
    <w:p w:rsidR="00E33D5F" w:rsidRDefault="00566FD8" w:rsidP="00E03CF9">
      <w:pPr>
        <w:pStyle w:val="ListParagraph"/>
        <w:numPr>
          <w:ilvl w:val="1"/>
          <w:numId w:val="12"/>
        </w:numPr>
      </w:pPr>
      <w:r w:rsidRPr="00921217">
        <w:rPr>
          <w:b/>
          <w:i/>
        </w:rPr>
        <w:t>Lab-type</w:t>
      </w:r>
      <w:r w:rsidR="00E33D5F">
        <w:t>: The name of the quantitative lab that you are graphing, for example, the viral load.</w:t>
      </w:r>
    </w:p>
    <w:p w:rsidR="00E33D5F" w:rsidRDefault="00E33D5F" w:rsidP="00E03CF9">
      <w:pPr>
        <w:pStyle w:val="ListParagraph"/>
        <w:numPr>
          <w:ilvl w:val="1"/>
          <w:numId w:val="12"/>
        </w:numPr>
      </w:pPr>
      <w:r w:rsidRPr="00921217">
        <w:rPr>
          <w:b/>
          <w:i/>
        </w:rPr>
        <w:t>Title-text</w:t>
      </w:r>
      <w:r>
        <w:t xml:space="preserve">: be explicit and clear here. For example, “Change in Viral load in last year” </w:t>
      </w:r>
    </w:p>
    <w:p w:rsidR="00171694" w:rsidRDefault="00E33D5F" w:rsidP="00E03CF9">
      <w:pPr>
        <w:pStyle w:val="ListParagraph"/>
        <w:numPr>
          <w:ilvl w:val="1"/>
          <w:numId w:val="12"/>
        </w:numPr>
      </w:pPr>
      <w:r w:rsidRPr="00921217">
        <w:rPr>
          <w:b/>
          <w:i/>
        </w:rPr>
        <w:t>Log-scale</w:t>
      </w:r>
      <w:r>
        <w:t xml:space="preserve">: </w:t>
      </w:r>
      <w:r w:rsidR="00587CA3">
        <w:t>For a viral load graph, CAREWare will default this field to “true,” meaning that the logarithm</w:t>
      </w:r>
      <w:r w:rsidR="00ED7478">
        <w:t xml:space="preserve"> (base 10)</w:t>
      </w:r>
      <w:r w:rsidR="00587CA3">
        <w:t xml:space="preserve"> of the viral load will be plotted, and not its raw value.</w:t>
      </w:r>
      <w:r w:rsidR="00ED7478">
        <w:t xml:space="preserve"> The reason we use the log is because </w:t>
      </w:r>
      <w:r>
        <w:t>the viral load can have a very wide range in values</w:t>
      </w:r>
      <w:r w:rsidR="00ED7478">
        <w:t>, say from 0 (undetectable) to a million copies; the log values have a much narrower range</w:t>
      </w:r>
      <w:r>
        <w:t xml:space="preserve">. For example, at the beginning of treatment, the client may have a very high viral load such as 100,000 copies, </w:t>
      </w:r>
      <w:r w:rsidR="00921217">
        <w:t>and then in a few months drop to 100 copies.  Those values are quite different, and they are difficult to plot on the graph. The log</w:t>
      </w:r>
      <w:r w:rsidR="00921217" w:rsidRPr="00CF2417">
        <w:rPr>
          <w:vertAlign w:val="subscript"/>
        </w:rPr>
        <w:t>10</w:t>
      </w:r>
      <w:r w:rsidR="00921217">
        <w:t xml:space="preserve"> of 100,000 is </w:t>
      </w:r>
      <w:r w:rsidR="004346D6">
        <w:t>5.0</w:t>
      </w:r>
      <w:r w:rsidR="00921217">
        <w:t xml:space="preserve"> and the log</w:t>
      </w:r>
      <w:r w:rsidR="00921217" w:rsidRPr="00CF2417">
        <w:rPr>
          <w:vertAlign w:val="subscript"/>
        </w:rPr>
        <w:t>10</w:t>
      </w:r>
      <w:r w:rsidR="00921217">
        <w:t xml:space="preserve"> of 100 is 2</w:t>
      </w:r>
      <w:r w:rsidR="004346D6">
        <w:t>.0</w:t>
      </w:r>
      <w:r w:rsidR="00921217">
        <w:t>. So</w:t>
      </w:r>
      <w:r w:rsidR="00CF2417">
        <w:t>,</w:t>
      </w:r>
      <w:r w:rsidR="00921217">
        <w:t xml:space="preserve"> we would plot the numbers </w:t>
      </w:r>
      <w:r w:rsidR="004346D6">
        <w:t>5</w:t>
      </w:r>
      <w:r w:rsidR="00921217">
        <w:t xml:space="preserve"> and 2. Just remember that the scale has changed!</w:t>
      </w:r>
      <w:r w:rsidR="00171694">
        <w:br/>
      </w:r>
    </w:p>
    <w:p w:rsidR="00E33D5F" w:rsidRDefault="00171694" w:rsidP="00E03CF9">
      <w:pPr>
        <w:pStyle w:val="ListParagraph"/>
        <w:numPr>
          <w:ilvl w:val="1"/>
          <w:numId w:val="12"/>
        </w:numPr>
      </w:pPr>
      <w:r>
        <w:rPr>
          <w:b/>
          <w:i/>
        </w:rPr>
        <w:t>For a lab test that has a normal distribution of</w:t>
      </w:r>
      <w:r w:rsidR="00B4550D">
        <w:rPr>
          <w:b/>
          <w:i/>
        </w:rPr>
        <w:t xml:space="preserve"> values, like total cholesterol, you will of course not need to use the log-value.</w:t>
      </w:r>
      <w:r w:rsidR="00CF2417">
        <w:br/>
      </w:r>
    </w:p>
    <w:p w:rsidR="00AA7949" w:rsidRDefault="00CF2417" w:rsidP="00E03CF9">
      <w:pPr>
        <w:pStyle w:val="ListParagraph"/>
        <w:numPr>
          <w:ilvl w:val="1"/>
          <w:numId w:val="12"/>
        </w:numPr>
      </w:pPr>
      <w:r w:rsidRPr="00CF2417">
        <w:rPr>
          <w:b/>
        </w:rPr>
        <w:t>X-axis-range</w:t>
      </w:r>
      <w:r>
        <w:t>: X is the horizontal axis and in all cases will be time in months.  The default is 12.</w:t>
      </w:r>
    </w:p>
    <w:p w:rsidR="00CF2417" w:rsidRDefault="00AA7949" w:rsidP="00E03CF9">
      <w:pPr>
        <w:pStyle w:val="ListParagraph"/>
        <w:numPr>
          <w:ilvl w:val="1"/>
          <w:numId w:val="12"/>
        </w:numPr>
      </w:pPr>
      <w:r>
        <w:rPr>
          <w:b/>
        </w:rPr>
        <w:t>Y</w:t>
      </w:r>
      <w:r w:rsidRPr="00AA7949">
        <w:t>-</w:t>
      </w:r>
      <w:r>
        <w:t xml:space="preserve">axis range: </w:t>
      </w:r>
      <w:r w:rsidR="00ED7478">
        <w:t xml:space="preserve">Leave the range to the default; CAREWare will take the log value </w:t>
      </w:r>
      <w:r w:rsidR="00B4550D">
        <w:t xml:space="preserve">of the viral load </w:t>
      </w:r>
      <w:r w:rsidR="00ED7478">
        <w:t>for you.</w:t>
      </w:r>
      <w:r w:rsidR="008C7899">
        <w:t xml:space="preserve"> For other plots you may want to change the range (that is, the min and max values shown on the vertical axis).</w:t>
      </w:r>
      <w:r w:rsidR="00ED7478">
        <w:br/>
      </w:r>
      <w:r w:rsidR="009D329F">
        <w:br/>
      </w:r>
      <w:r w:rsidR="009D329F" w:rsidRPr="005E271A">
        <w:rPr>
          <w:b/>
          <w:i/>
        </w:rPr>
        <w:t>NOTE: You may need to scroll to the next page of this list to show the remaining</w:t>
      </w:r>
      <w:r w:rsidR="005E271A">
        <w:rPr>
          <w:b/>
          <w:i/>
        </w:rPr>
        <w:t xml:space="preserve"> properties available to you</w:t>
      </w:r>
      <w:r w:rsidR="009D329F" w:rsidRPr="005E271A">
        <w:rPr>
          <w:b/>
          <w:i/>
        </w:rPr>
        <w:t>!</w:t>
      </w:r>
      <w:r w:rsidR="009D329F" w:rsidRPr="005E271A">
        <w:rPr>
          <w:b/>
          <w:i/>
        </w:rPr>
        <w:br/>
      </w:r>
    </w:p>
    <w:p w:rsidR="009D329F" w:rsidRDefault="009D329F" w:rsidP="00E03CF9">
      <w:pPr>
        <w:pStyle w:val="ListParagraph"/>
        <w:numPr>
          <w:ilvl w:val="1"/>
          <w:numId w:val="12"/>
        </w:numPr>
      </w:pPr>
      <w:r w:rsidRPr="009A7F08">
        <w:rPr>
          <w:b/>
        </w:rPr>
        <w:t>Line-size</w:t>
      </w:r>
      <w:r>
        <w:t>: This sets the thickness of the line that you are plotting. You may just need to play with this to see what look</w:t>
      </w:r>
      <w:r w:rsidR="003C077B">
        <w:t>s</w:t>
      </w:r>
      <w:r>
        <w:t xml:space="preserve"> best.</w:t>
      </w:r>
    </w:p>
    <w:p w:rsidR="009D329F" w:rsidRDefault="009D329F" w:rsidP="00E03CF9">
      <w:pPr>
        <w:pStyle w:val="ListParagraph"/>
        <w:numPr>
          <w:ilvl w:val="1"/>
          <w:numId w:val="12"/>
        </w:numPr>
      </w:pPr>
      <w:r>
        <w:rPr>
          <w:b/>
        </w:rPr>
        <w:t>L</w:t>
      </w:r>
      <w:r w:rsidRPr="009A7F08">
        <w:rPr>
          <w:b/>
        </w:rPr>
        <w:t xml:space="preserve">ine-color: </w:t>
      </w:r>
      <w:r>
        <w:t xml:space="preserve">As with the size, whatever looks best to you. </w:t>
      </w:r>
      <w:r w:rsidR="00F3662D">
        <w:br/>
      </w:r>
    </w:p>
    <w:p w:rsidR="00F3662D" w:rsidRDefault="00F3662D" w:rsidP="00F3662D">
      <w:pPr>
        <w:pStyle w:val="ListParagraph"/>
        <w:numPr>
          <w:ilvl w:val="0"/>
          <w:numId w:val="12"/>
        </w:numPr>
      </w:pPr>
      <w:r w:rsidRPr="00F3662D">
        <w:t>Once you have set the control properties, go back to the main Form Designer screen. You</w:t>
      </w:r>
      <w:r w:rsidR="001069C8">
        <w:t xml:space="preserve"> should see a </w:t>
      </w:r>
      <w:r w:rsidR="00C30D06">
        <w:t xml:space="preserve">scrunched </w:t>
      </w:r>
      <w:r w:rsidR="001069C8">
        <w:t>mock-u</w:t>
      </w:r>
      <w:r w:rsidRPr="00F3662D">
        <w:t>p of your plot</w:t>
      </w:r>
      <w:r w:rsidR="001069C8">
        <w:t xml:space="preserve"> that looks like this! Simply drag the bottom right hand corner to resize your graph.</w:t>
      </w:r>
    </w:p>
    <w:p w:rsidR="00AA6BFD" w:rsidRDefault="00AA6BFD" w:rsidP="001069C8">
      <w:pPr>
        <w:jc w:val="center"/>
      </w:pPr>
      <w:r>
        <w:rPr>
          <w:noProof/>
        </w:rPr>
        <w:drawing>
          <wp:inline distT="0" distB="0" distL="0" distR="0" wp14:anchorId="2071EF74" wp14:editId="54E3DDE3">
            <wp:extent cx="4019550" cy="3714750"/>
            <wp:effectExtent l="19050" t="19050" r="1905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714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069C8" w:rsidRDefault="001069C8" w:rsidP="001069C8"/>
    <w:p w:rsidR="001069C8" w:rsidRDefault="001069C8" w:rsidP="001069C8"/>
    <w:p w:rsidR="001069C8" w:rsidRPr="00F3662D" w:rsidRDefault="001069C8" w:rsidP="001069C8">
      <w:r>
        <w:t>Our resized version looks like this:</w:t>
      </w:r>
    </w:p>
    <w:p w:rsidR="00EC2820" w:rsidRDefault="001C4705" w:rsidP="003E314C">
      <w:r>
        <w:rPr>
          <w:noProof/>
        </w:rPr>
        <w:drawing>
          <wp:inline distT="0" distB="0" distL="0" distR="0" wp14:anchorId="585EDF8C" wp14:editId="233097F6">
            <wp:extent cx="5943600" cy="51562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06" w:rsidRDefault="001C4705" w:rsidP="00AA6BFD">
      <w:pPr>
        <w:pStyle w:val="ListParagraph"/>
        <w:numPr>
          <w:ilvl w:val="0"/>
          <w:numId w:val="16"/>
        </w:numPr>
      </w:pPr>
      <w:r w:rsidRPr="00AA6BFD">
        <w:rPr>
          <w:b/>
        </w:rPr>
        <w:t>To modify control properties of the larger form</w:t>
      </w:r>
      <w:r>
        <w:t>, select the outside border; it will highlight in</w:t>
      </w:r>
      <w:r w:rsidR="00331F68">
        <w:t xml:space="preserve"> solid</w:t>
      </w:r>
      <w:r>
        <w:t xml:space="preserve"> red, as shown above.</w:t>
      </w:r>
      <w:r w:rsidR="00AA4A06">
        <w:t xml:space="preserve"> There are only two properties that can be modified here: the background color and size</w:t>
      </w:r>
      <w:r w:rsidR="00AA6BFD">
        <w:t xml:space="preserve"> (which is typically do</w:t>
      </w:r>
      <w:r w:rsidR="003C077B">
        <w:t>ne by</w:t>
      </w:r>
      <w:r w:rsidR="00AA6BFD">
        <w:t xml:space="preserve"> simply resizing with your mouse).</w:t>
      </w:r>
      <w:r w:rsidR="00331F68">
        <w:br/>
      </w:r>
    </w:p>
    <w:p w:rsidR="007A3AEB" w:rsidRDefault="00AA4A06" w:rsidP="00AA6BFD">
      <w:pPr>
        <w:pStyle w:val="ListParagraph"/>
        <w:numPr>
          <w:ilvl w:val="0"/>
          <w:numId w:val="16"/>
        </w:numPr>
      </w:pPr>
      <w:r w:rsidRPr="00AA6BFD">
        <w:rPr>
          <w:b/>
        </w:rPr>
        <w:t>More importantly, to go back in and</w:t>
      </w:r>
      <w:r w:rsidR="001C4705" w:rsidRPr="00AA6BFD">
        <w:rPr>
          <w:b/>
        </w:rPr>
        <w:t xml:space="preserve"> modify properties of the graph itself</w:t>
      </w:r>
      <w:r w:rsidR="00716FB8">
        <w:t xml:space="preserve"> (e.g. change the title, or the ranges of the x or y axis, etc.)</w:t>
      </w:r>
      <w:r w:rsidR="001C4705">
        <w:t>, click on the graph and it will be hig</w:t>
      </w:r>
      <w:r>
        <w:t>hlighted with a dotted red line; select “Control Properties” on the main left</w:t>
      </w:r>
      <w:r w:rsidR="00331F68">
        <w:t>-</w:t>
      </w:r>
      <w:r>
        <w:t xml:space="preserve">hand menu and you will see the main properties screen again.  </w:t>
      </w:r>
      <w:r w:rsidR="00EE1CA6">
        <w:br/>
      </w:r>
    </w:p>
    <w:p w:rsidR="00AA4A06" w:rsidRDefault="00AA4A06" w:rsidP="00AA6BFD">
      <w:pPr>
        <w:pStyle w:val="ListParagraph"/>
        <w:numPr>
          <w:ilvl w:val="0"/>
          <w:numId w:val="16"/>
        </w:numPr>
        <w:rPr>
          <w:b/>
        </w:rPr>
      </w:pPr>
      <w:r w:rsidRPr="001069C8">
        <w:rPr>
          <w:b/>
        </w:rPr>
        <w:t xml:space="preserve">Don’t forget to </w:t>
      </w:r>
      <w:r w:rsidR="00331F68">
        <w:rPr>
          <w:b/>
        </w:rPr>
        <w:t xml:space="preserve">always </w:t>
      </w:r>
      <w:r w:rsidRPr="001069C8">
        <w:rPr>
          <w:b/>
        </w:rPr>
        <w:t xml:space="preserve">Save </w:t>
      </w:r>
      <w:r w:rsidR="00AA6BFD" w:rsidRPr="001069C8">
        <w:rPr>
          <w:b/>
        </w:rPr>
        <w:t xml:space="preserve">your form </w:t>
      </w:r>
      <w:r w:rsidRPr="001069C8">
        <w:rPr>
          <w:b/>
        </w:rPr>
        <w:t>after you have made any changes!!</w:t>
      </w:r>
      <w:r w:rsidR="001A3927">
        <w:rPr>
          <w:b/>
        </w:rPr>
        <w:br/>
      </w:r>
    </w:p>
    <w:p w:rsidR="001A3927" w:rsidRDefault="001A3927" w:rsidP="00AA6BFD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Now it’s a good idea to log into a Provider domain, bring up a client with a few values and make sure that the plot meets your artistic (and scientific) standards….</w:t>
      </w:r>
      <w:r w:rsidR="005B0333">
        <w:rPr>
          <w:b/>
        </w:rPr>
        <w:br/>
      </w:r>
    </w:p>
    <w:p w:rsidR="00AA593F" w:rsidRDefault="005B0333" w:rsidP="00AA6BFD">
      <w:pPr>
        <w:pStyle w:val="ListParagraph"/>
        <w:numPr>
          <w:ilvl w:val="0"/>
          <w:numId w:val="16"/>
        </w:numPr>
        <w:rPr>
          <w:b/>
        </w:rPr>
      </w:pPr>
      <w:r w:rsidRPr="005B0333">
        <w:t>If you want to add other controls to the graph, in particular a demographic field, or a “doodad” such as a line or box or label, select the Add Control link to go back to the main control menu</w:t>
      </w:r>
      <w:r>
        <w:rPr>
          <w:b/>
        </w:rPr>
        <w:t xml:space="preserve">.  </w:t>
      </w:r>
      <w:r w:rsidR="00AA593F">
        <w:rPr>
          <w:b/>
        </w:rPr>
        <w:br/>
      </w:r>
    </w:p>
    <w:p w:rsidR="005B0333" w:rsidRPr="00AA593F" w:rsidRDefault="00AA593F" w:rsidP="00AA593F">
      <w:pPr>
        <w:pStyle w:val="ListParagraph"/>
        <w:numPr>
          <w:ilvl w:val="0"/>
          <w:numId w:val="16"/>
        </w:numPr>
      </w:pPr>
      <w:r w:rsidRPr="00AA593F">
        <w:t>Let’s add the client’s date of birth to the graph.</w:t>
      </w:r>
      <w:r w:rsidR="00580F05">
        <w:br/>
      </w:r>
    </w:p>
    <w:p w:rsidR="00AA593F" w:rsidRPr="00AA593F" w:rsidRDefault="00AA593F" w:rsidP="00AA593F">
      <w:pPr>
        <w:pStyle w:val="ListParagraph"/>
        <w:numPr>
          <w:ilvl w:val="1"/>
          <w:numId w:val="16"/>
        </w:numPr>
      </w:pPr>
      <w:r w:rsidRPr="00AA593F">
        <w:t>Select “Add Demographic Report Field”</w:t>
      </w:r>
    </w:p>
    <w:p w:rsidR="00AA593F" w:rsidRPr="00AA593F" w:rsidRDefault="00AA593F" w:rsidP="00AA593F">
      <w:pPr>
        <w:pStyle w:val="ListParagraph"/>
        <w:numPr>
          <w:ilvl w:val="1"/>
          <w:numId w:val="16"/>
        </w:numPr>
      </w:pPr>
      <w:r w:rsidRPr="00AA593F">
        <w:t>Search for and select “Date of birth” in the list</w:t>
      </w:r>
    </w:p>
    <w:p w:rsidR="00580F05" w:rsidRDefault="00AA593F" w:rsidP="00AA593F">
      <w:pPr>
        <w:pStyle w:val="ListParagraph"/>
        <w:numPr>
          <w:ilvl w:val="1"/>
          <w:numId w:val="16"/>
        </w:numPr>
      </w:pPr>
      <w:r w:rsidRPr="00AA593F">
        <w:t xml:space="preserve">Go back to the form designer screen and you’ll see your new control in a box on the top left.  </w:t>
      </w:r>
      <w:r w:rsidRPr="00580F05">
        <w:rPr>
          <w:b/>
        </w:rPr>
        <w:t>Move and resize as needed</w:t>
      </w:r>
      <w:r w:rsidRPr="00AA593F">
        <w:t>.</w:t>
      </w:r>
      <w:r>
        <w:t xml:space="preserve"> </w:t>
      </w:r>
    </w:p>
    <w:p w:rsidR="00580F05" w:rsidRDefault="00AA593F" w:rsidP="00AA593F">
      <w:pPr>
        <w:pStyle w:val="ListParagraph"/>
        <w:numPr>
          <w:ilvl w:val="1"/>
          <w:numId w:val="16"/>
        </w:numPr>
      </w:pPr>
      <w:r>
        <w:t>With this box still selected (it will be highlighted in red), select “Control Properties” from the left-hand menu.  Now you can change properties of this control such as the font size, background color, border style, and font style.</w:t>
      </w:r>
    </w:p>
    <w:p w:rsidR="00AA593F" w:rsidRDefault="00580F05" w:rsidP="00AA593F">
      <w:pPr>
        <w:pStyle w:val="ListParagraph"/>
        <w:numPr>
          <w:ilvl w:val="1"/>
          <w:numId w:val="16"/>
        </w:numPr>
      </w:pPr>
      <w:r w:rsidRPr="005C4495">
        <w:rPr>
          <w:b/>
        </w:rPr>
        <w:t>Hit Save in the Action bar</w:t>
      </w:r>
      <w:r>
        <w:t xml:space="preserve"> when you have finished.</w:t>
      </w:r>
      <w:r w:rsidR="00AA593F">
        <w:t xml:space="preserve"> </w:t>
      </w:r>
    </w:p>
    <w:p w:rsidR="00580F05" w:rsidRPr="00AA593F" w:rsidRDefault="00580F05" w:rsidP="00AA593F">
      <w:pPr>
        <w:pStyle w:val="ListParagraph"/>
        <w:numPr>
          <w:ilvl w:val="1"/>
          <w:numId w:val="16"/>
        </w:numPr>
      </w:pPr>
      <w:r>
        <w:t>The process is the same if you want to add a “Doodad”</w:t>
      </w:r>
      <w:r w:rsidR="00426A5F">
        <w:t xml:space="preserve">.  </w:t>
      </w:r>
      <w:r w:rsidR="00D127EB">
        <w:t xml:space="preserve">For example, </w:t>
      </w:r>
      <w:r w:rsidR="005C4495">
        <w:t>you</w:t>
      </w:r>
      <w:r w:rsidR="00426A5F">
        <w:t xml:space="preserve"> may want to add a label to the box we just added so that it says “Date of Birth”</w:t>
      </w:r>
      <w:r w:rsidR="005C4495">
        <w:t>, or place a horizontal line at the undetectable viral load level.</w:t>
      </w:r>
    </w:p>
    <w:p w:rsidR="001A3927" w:rsidRDefault="00D127EB" w:rsidP="001A3927">
      <w:pPr>
        <w:ind w:left="360"/>
        <w:rPr>
          <w:b/>
        </w:rPr>
      </w:pPr>
      <w:r>
        <w:rPr>
          <w:b/>
        </w:rPr>
        <w:t>Here’s how our client summary line graph looks when we bring up a specific individual:</w:t>
      </w:r>
    </w:p>
    <w:p w:rsidR="00D127EB" w:rsidRPr="001A3927" w:rsidRDefault="00D127EB" w:rsidP="001A3927">
      <w:pPr>
        <w:ind w:left="360"/>
        <w:rPr>
          <w:b/>
        </w:rPr>
      </w:pPr>
      <w:r>
        <w:rPr>
          <w:noProof/>
        </w:rPr>
        <w:drawing>
          <wp:inline distT="0" distB="0" distL="0" distR="0" wp14:anchorId="7526A133" wp14:editId="756B38CB">
            <wp:extent cx="5943600" cy="519176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705" w:rsidRDefault="001C4705">
      <w:pPr>
        <w:rPr>
          <w:highlight w:val="lightGray"/>
        </w:rPr>
      </w:pPr>
      <w:r>
        <w:rPr>
          <w:highlight w:val="lightGray"/>
        </w:rPr>
        <w:br w:type="page"/>
      </w:r>
    </w:p>
    <w:p w:rsidR="007A3AEB" w:rsidRDefault="007A3AEB" w:rsidP="001C4705">
      <w:pPr>
        <w:pBdr>
          <w:bottom w:val="single" w:sz="4" w:space="1" w:color="auto"/>
        </w:pBdr>
        <w:ind w:left="360"/>
      </w:pPr>
      <w:r>
        <w:t>HIVQM Setup</w:t>
      </w:r>
    </w:p>
    <w:p w:rsidR="00B53A5C" w:rsidRDefault="000D0A6C" w:rsidP="007A3AEB">
      <w:r>
        <w:t>The HIV quality management</w:t>
      </w:r>
      <w:r w:rsidR="0010570C">
        <w:t xml:space="preserve"> </w:t>
      </w:r>
      <w:r w:rsidR="00E60E9F">
        <w:t>(HIVQM)</w:t>
      </w:r>
      <w:r>
        <w:t xml:space="preserve"> </w:t>
      </w:r>
      <w:r w:rsidR="00E60E9F">
        <w:t>program</w:t>
      </w:r>
      <w:r>
        <w:t xml:space="preserve"> </w:t>
      </w:r>
      <w:r w:rsidR="00E60E9F">
        <w:t>allows RWHAP recipients to</w:t>
      </w:r>
      <w:r w:rsidR="0010570C">
        <w:t xml:space="preserve"> run a group of performance measures and output the results in a simple CSV </w:t>
      </w:r>
      <w:r w:rsidR="00260E81">
        <w:t>file</w:t>
      </w:r>
      <w:r w:rsidR="0010570C">
        <w:t xml:space="preserve"> (Excel)</w:t>
      </w:r>
      <w:r w:rsidR="00E60E9F">
        <w:t xml:space="preserve"> </w:t>
      </w:r>
      <w:r w:rsidR="0010570C">
        <w:t xml:space="preserve">that is in the proper format for </w:t>
      </w:r>
      <w:r w:rsidR="00E60E9F">
        <w:t xml:space="preserve">upload </w:t>
      </w:r>
      <w:r w:rsidR="0010570C">
        <w:t>to the EHB HIVQM module.</w:t>
      </w:r>
    </w:p>
    <w:p w:rsidR="00AF0D71" w:rsidRDefault="00B53A5C" w:rsidP="003E314C">
      <w:r>
        <w:t xml:space="preserve">The general process is to create or add existing measures to a group; Run that group of measures; </w:t>
      </w:r>
      <w:r w:rsidR="00260E81">
        <w:t xml:space="preserve">and </w:t>
      </w:r>
      <w:r>
        <w:t>save the output as a CSV file.</w:t>
      </w:r>
    </w:p>
    <w:p w:rsidR="00730A8F" w:rsidRDefault="00730A8F" w:rsidP="003E314C"/>
    <w:p w:rsidR="00730A8F" w:rsidRDefault="00CD1FC2" w:rsidP="00CD1FC2">
      <w:pPr>
        <w:pStyle w:val="ListParagraph"/>
        <w:numPr>
          <w:ilvl w:val="0"/>
          <w:numId w:val="17"/>
        </w:numPr>
      </w:pPr>
      <w:r>
        <w:t>Create a group Name and choose “Select Performance Measures” as shown here:</w:t>
      </w:r>
      <w:r>
        <w:br/>
      </w:r>
      <w:r>
        <w:rPr>
          <w:noProof/>
        </w:rPr>
        <w:drawing>
          <wp:inline distT="0" distB="0" distL="0" distR="0" wp14:anchorId="7C8FCF79" wp14:editId="749B31EC">
            <wp:extent cx="5626100" cy="2420620"/>
            <wp:effectExtent l="19050" t="19050" r="12700" b="177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24206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D1FC2" w:rsidRDefault="00CD1FC2" w:rsidP="00CD1FC2">
      <w:pPr>
        <w:pStyle w:val="ListParagraph"/>
      </w:pPr>
    </w:p>
    <w:p w:rsidR="00CD1FC2" w:rsidRDefault="00CD1FC2" w:rsidP="00CD1FC2">
      <w:pPr>
        <w:pStyle w:val="ListParagraph"/>
        <w:numPr>
          <w:ilvl w:val="0"/>
          <w:numId w:val="17"/>
        </w:numPr>
      </w:pPr>
      <w:r>
        <w:t xml:space="preserve">Check the measures you </w:t>
      </w:r>
      <w:r w:rsidR="007463C0">
        <w:t>would like to add to this group and hit Save.</w:t>
      </w:r>
    </w:p>
    <w:p w:rsidR="00D127EB" w:rsidRDefault="00D127EB" w:rsidP="00CD1FC2">
      <w:pPr>
        <w:jc w:val="center"/>
      </w:pPr>
      <w:r>
        <w:rPr>
          <w:noProof/>
        </w:rPr>
        <w:drawing>
          <wp:inline distT="0" distB="0" distL="0" distR="0" wp14:anchorId="74D18BD3" wp14:editId="442D7693">
            <wp:extent cx="6070600" cy="2797175"/>
            <wp:effectExtent l="19050" t="19050" r="25400" b="222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2797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A1E66" w:rsidRDefault="007463C0" w:rsidP="007463C0">
      <w:pPr>
        <w:pStyle w:val="ListParagraph"/>
        <w:numPr>
          <w:ilvl w:val="0"/>
          <w:numId w:val="17"/>
        </w:numPr>
      </w:pPr>
      <w:r>
        <w:t>Back on the main HIVQM Export Groups page, select your group and then hit Evaluate from the action bar.</w:t>
      </w:r>
    </w:p>
    <w:p w:rsidR="009A1E66" w:rsidRDefault="009A1E66" w:rsidP="007463C0">
      <w:pPr>
        <w:pStyle w:val="ListParagraph"/>
        <w:numPr>
          <w:ilvl w:val="0"/>
          <w:numId w:val="17"/>
        </w:numPr>
      </w:pPr>
      <w:r>
        <w:t xml:space="preserve">ON the next screen, change any of the settings, as needed.  Don’t forget to select the “HIVQM Format” box on the bottom as this will ensure that you get your </w:t>
      </w:r>
      <w:r w:rsidR="00036A46">
        <w:t>output in the right format</w:t>
      </w:r>
      <w:r>
        <w:t>.</w:t>
      </w:r>
    </w:p>
    <w:p w:rsidR="009A1E66" w:rsidRDefault="009A1E66" w:rsidP="009A1E66">
      <w:pPr>
        <w:pStyle w:val="ListParagraph"/>
      </w:pPr>
      <w:r>
        <w:br/>
        <w:t>Hyperlinks in the Action Bar allow you to quickly set the date range to the last year from today</w:t>
      </w:r>
      <w:r>
        <w:br/>
      </w:r>
      <w:r>
        <w:br/>
      </w:r>
      <w:r>
        <w:rPr>
          <w:noProof/>
        </w:rPr>
        <w:drawing>
          <wp:inline distT="0" distB="0" distL="0" distR="0" wp14:anchorId="4661F9D2" wp14:editId="1A50FBC0">
            <wp:extent cx="5943600" cy="2063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463C0" w:rsidRDefault="007463C0" w:rsidP="009A1E66">
      <w:pPr>
        <w:pStyle w:val="ListParagraph"/>
      </w:pPr>
      <w:r>
        <w:t xml:space="preserve"> </w:t>
      </w:r>
      <w:r w:rsidR="009A1E66">
        <w:t>Selecting “Set HRSA Submission Timeframe” will bring up this screen where you will have to select the year and period:</w:t>
      </w:r>
    </w:p>
    <w:p w:rsidR="009A1E66" w:rsidRDefault="009A1E66" w:rsidP="009A1E66">
      <w:pPr>
        <w:pStyle w:val="ListParagraph"/>
      </w:pPr>
      <w:r>
        <w:rPr>
          <w:noProof/>
        </w:rPr>
        <w:drawing>
          <wp:inline distT="0" distB="0" distL="0" distR="0" wp14:anchorId="3DCCCF9D" wp14:editId="21B7A9A5">
            <wp:extent cx="5324475" cy="27813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E66" w:rsidRDefault="009A1E66" w:rsidP="009A1E66">
      <w:pPr>
        <w:pStyle w:val="ListParagraph"/>
      </w:pPr>
    </w:p>
    <w:p w:rsidR="009A1E66" w:rsidRDefault="009A1E66" w:rsidP="009A1E66">
      <w:pPr>
        <w:pStyle w:val="ListParagraph"/>
      </w:pPr>
      <w:r>
        <w:t>It might be a good idea to first output your measures in PDF so you can examine the results. NOTE:  Depending on the number of measures being evaluated in your group, this could take some time to run!</w:t>
      </w:r>
    </w:p>
    <w:p w:rsidR="009A1E66" w:rsidRDefault="009A1E66" w:rsidP="009A1E66">
      <w:pPr>
        <w:pStyle w:val="ListParagraph"/>
      </w:pPr>
    </w:p>
    <w:p w:rsidR="00255E22" w:rsidRDefault="00255E22">
      <w:r>
        <w:br w:type="page"/>
      </w:r>
    </w:p>
    <w:p w:rsidR="009A1E66" w:rsidRDefault="009A1E66" w:rsidP="009A1E66">
      <w:pPr>
        <w:pStyle w:val="ListParagraph"/>
      </w:pPr>
      <w:r>
        <w:t>When it looks good, run again but save as CSV. Download and save to an easy to find location.</w:t>
      </w:r>
      <w:r w:rsidR="00255E22">
        <w:t xml:space="preserve"> Your file will contain the following fields/coding for each measure in the group:</w:t>
      </w:r>
    </w:p>
    <w:p w:rsidR="00255E22" w:rsidRDefault="00255E22" w:rsidP="009A1E66">
      <w:pPr>
        <w:pStyle w:val="ListParagraph"/>
      </w:pPr>
    </w:p>
    <w:p w:rsidR="00255E22" w:rsidRDefault="00255E22" w:rsidP="009A1E66">
      <w:pPr>
        <w:pStyle w:val="ListParagraph"/>
      </w:pPr>
      <w:r>
        <w:t xml:space="preserve">CSV Export file for HIVQM </w:t>
      </w: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2340"/>
        <w:gridCol w:w="4950"/>
      </w:tblGrid>
      <w:tr w:rsidR="00901140" w:rsidTr="00A23C5A">
        <w:trPr>
          <w:jc w:val="center"/>
        </w:trPr>
        <w:tc>
          <w:tcPr>
            <w:tcW w:w="985" w:type="dxa"/>
            <w:shd w:val="clear" w:color="auto" w:fill="BFBFBF" w:themeFill="background1" w:themeFillShade="BF"/>
          </w:tcPr>
          <w:p w:rsidR="00901140" w:rsidRDefault="00901140" w:rsidP="00EC5379">
            <w:pPr>
              <w:pStyle w:val="ListParagraph"/>
              <w:ind w:left="0"/>
              <w:jc w:val="center"/>
            </w:pPr>
            <w:r>
              <w:t>Field No.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901140" w:rsidRDefault="00901140" w:rsidP="00255E22">
            <w:pPr>
              <w:pStyle w:val="ListParagraph"/>
              <w:ind w:left="0"/>
              <w:jc w:val="center"/>
            </w:pPr>
            <w:r>
              <w:t>Field Name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:rsidR="00901140" w:rsidRDefault="00901140" w:rsidP="00255E22">
            <w:pPr>
              <w:pStyle w:val="ListParagraph"/>
              <w:ind w:left="0"/>
              <w:jc w:val="center"/>
            </w:pPr>
            <w:r>
              <w:t>Coding/Notes</w:t>
            </w:r>
          </w:p>
        </w:tc>
      </w:tr>
      <w:tr w:rsidR="00901140" w:rsidTr="00A23C5A">
        <w:trPr>
          <w:jc w:val="center"/>
        </w:trPr>
        <w:tc>
          <w:tcPr>
            <w:tcW w:w="985" w:type="dxa"/>
          </w:tcPr>
          <w:p w:rsidR="00901140" w:rsidRDefault="00901140" w:rsidP="00EC5379">
            <w:pPr>
              <w:pStyle w:val="ListParagraph"/>
              <w:ind w:left="0"/>
              <w:jc w:val="center"/>
            </w:pPr>
            <w:r>
              <w:t>1</w:t>
            </w:r>
            <w:r w:rsidR="00226847">
              <w:t>.</w:t>
            </w:r>
          </w:p>
        </w:tc>
        <w:tc>
          <w:tcPr>
            <w:tcW w:w="2340" w:type="dxa"/>
          </w:tcPr>
          <w:p w:rsidR="00901140" w:rsidRDefault="00901140" w:rsidP="00443CEC">
            <w:pPr>
              <w:pStyle w:val="ListParagraph"/>
              <w:ind w:left="0"/>
            </w:pPr>
            <w:r>
              <w:t>Provider ID</w:t>
            </w:r>
          </w:p>
        </w:tc>
        <w:tc>
          <w:tcPr>
            <w:tcW w:w="4950" w:type="dxa"/>
          </w:tcPr>
          <w:p w:rsidR="003A1111" w:rsidRDefault="003A1111" w:rsidP="00A23C5A">
            <w:pPr>
              <w:pStyle w:val="ListParagraph"/>
              <w:ind w:left="0"/>
            </w:pPr>
            <w:r>
              <w:t xml:space="preserve">ID from RSR. </w:t>
            </w:r>
            <w:r w:rsidR="00A23C5A">
              <w:br/>
            </w:r>
            <w:r w:rsidRPr="00316E95">
              <w:rPr>
                <w:i/>
              </w:rPr>
              <w:t xml:space="preserve">Entered in </w:t>
            </w:r>
            <w:r w:rsidR="00A23C5A" w:rsidRPr="00316E95">
              <w:rPr>
                <w:i/>
              </w:rPr>
              <w:t xml:space="preserve">Admin Options &gt; </w:t>
            </w:r>
            <w:r w:rsidRPr="00316E95">
              <w:rPr>
                <w:i/>
              </w:rPr>
              <w:t>Provider setup&gt;</w:t>
            </w:r>
            <w:r w:rsidR="00A23C5A" w:rsidRPr="00316E95">
              <w:rPr>
                <w:i/>
              </w:rPr>
              <w:t xml:space="preserve"> </w:t>
            </w:r>
            <w:r w:rsidRPr="00316E95">
              <w:rPr>
                <w:i/>
              </w:rPr>
              <w:t>Additional Agency</w:t>
            </w:r>
            <w:r w:rsidR="00A23C5A" w:rsidRPr="00316E95">
              <w:rPr>
                <w:i/>
              </w:rPr>
              <w:t xml:space="preserve"> Information tab</w:t>
            </w:r>
          </w:p>
        </w:tc>
      </w:tr>
      <w:tr w:rsidR="00901140" w:rsidTr="00A23C5A">
        <w:trPr>
          <w:jc w:val="center"/>
        </w:trPr>
        <w:tc>
          <w:tcPr>
            <w:tcW w:w="985" w:type="dxa"/>
          </w:tcPr>
          <w:p w:rsidR="00901140" w:rsidRDefault="00901140" w:rsidP="00EC5379">
            <w:pPr>
              <w:pStyle w:val="ListParagraph"/>
              <w:ind w:left="0"/>
              <w:jc w:val="center"/>
            </w:pPr>
            <w:r>
              <w:t>2</w:t>
            </w:r>
            <w:r w:rsidR="00226847">
              <w:t>.</w:t>
            </w:r>
          </w:p>
        </w:tc>
        <w:tc>
          <w:tcPr>
            <w:tcW w:w="2340" w:type="dxa"/>
          </w:tcPr>
          <w:p w:rsidR="00901140" w:rsidRDefault="00901140" w:rsidP="00443CEC">
            <w:pPr>
              <w:pStyle w:val="ListParagraph"/>
              <w:ind w:left="0"/>
            </w:pPr>
            <w:r>
              <w:t>Provider Name</w:t>
            </w:r>
          </w:p>
        </w:tc>
        <w:tc>
          <w:tcPr>
            <w:tcW w:w="4950" w:type="dxa"/>
          </w:tcPr>
          <w:p w:rsidR="00A23C5A" w:rsidRDefault="00A23C5A" w:rsidP="00A23C5A">
            <w:pPr>
              <w:pStyle w:val="ListParagraph"/>
              <w:ind w:left="0"/>
            </w:pPr>
            <w:r>
              <w:t xml:space="preserve">ID from RSR. </w:t>
            </w:r>
          </w:p>
          <w:p w:rsidR="00901140" w:rsidRPr="00316E95" w:rsidRDefault="00A23C5A" w:rsidP="00A23C5A">
            <w:pPr>
              <w:pStyle w:val="ListParagraph"/>
              <w:ind w:left="0"/>
              <w:rPr>
                <w:i/>
              </w:rPr>
            </w:pPr>
            <w:r w:rsidRPr="00316E95">
              <w:rPr>
                <w:i/>
              </w:rPr>
              <w:t>Entered in Admin Options &gt; Provider setup&gt;Agency information tab</w:t>
            </w:r>
          </w:p>
        </w:tc>
      </w:tr>
      <w:tr w:rsidR="00901140" w:rsidTr="00A23C5A">
        <w:trPr>
          <w:jc w:val="center"/>
        </w:trPr>
        <w:tc>
          <w:tcPr>
            <w:tcW w:w="985" w:type="dxa"/>
          </w:tcPr>
          <w:p w:rsidR="00901140" w:rsidRDefault="00901140" w:rsidP="00EC5379">
            <w:pPr>
              <w:pStyle w:val="ListParagraph"/>
              <w:ind w:left="0"/>
              <w:jc w:val="center"/>
            </w:pPr>
            <w:r>
              <w:t>3</w:t>
            </w:r>
            <w:r w:rsidR="00226847">
              <w:t>.</w:t>
            </w:r>
          </w:p>
        </w:tc>
        <w:tc>
          <w:tcPr>
            <w:tcW w:w="2340" w:type="dxa"/>
          </w:tcPr>
          <w:p w:rsidR="00901140" w:rsidRDefault="00901140" w:rsidP="00443CEC">
            <w:pPr>
              <w:pStyle w:val="ListParagraph"/>
              <w:ind w:left="0"/>
            </w:pPr>
            <w:r>
              <w:t xml:space="preserve">Software name </w:t>
            </w:r>
          </w:p>
        </w:tc>
        <w:tc>
          <w:tcPr>
            <w:tcW w:w="4950" w:type="dxa"/>
          </w:tcPr>
          <w:p w:rsidR="00901140" w:rsidRDefault="00316E95" w:rsidP="00443CEC">
            <w:pPr>
              <w:pStyle w:val="ListParagraph"/>
              <w:ind w:left="0"/>
            </w:pPr>
            <w:r>
              <w:t>(defaults to CAREWare)</w:t>
            </w:r>
          </w:p>
        </w:tc>
      </w:tr>
      <w:tr w:rsidR="00901140" w:rsidTr="00A23C5A">
        <w:trPr>
          <w:jc w:val="center"/>
        </w:trPr>
        <w:tc>
          <w:tcPr>
            <w:tcW w:w="985" w:type="dxa"/>
          </w:tcPr>
          <w:p w:rsidR="00901140" w:rsidRDefault="00901140" w:rsidP="00EC5379">
            <w:pPr>
              <w:pStyle w:val="ListParagraph"/>
              <w:ind w:left="0"/>
              <w:jc w:val="center"/>
            </w:pPr>
            <w:r>
              <w:t>4</w:t>
            </w:r>
            <w:r w:rsidR="00226847">
              <w:t>.</w:t>
            </w:r>
          </w:p>
        </w:tc>
        <w:tc>
          <w:tcPr>
            <w:tcW w:w="2340" w:type="dxa"/>
          </w:tcPr>
          <w:p w:rsidR="00901140" w:rsidRDefault="00901140" w:rsidP="00443CEC">
            <w:pPr>
              <w:pStyle w:val="ListParagraph"/>
              <w:ind w:left="0"/>
            </w:pPr>
            <w:r>
              <w:t>Measure ID</w:t>
            </w:r>
          </w:p>
        </w:tc>
        <w:tc>
          <w:tcPr>
            <w:tcW w:w="4950" w:type="dxa"/>
          </w:tcPr>
          <w:p w:rsidR="00901140" w:rsidRDefault="00901140" w:rsidP="00443CEC">
            <w:pPr>
              <w:pStyle w:val="ListParagraph"/>
              <w:ind w:left="0"/>
            </w:pPr>
          </w:p>
        </w:tc>
      </w:tr>
      <w:tr w:rsidR="00901140" w:rsidTr="00A23C5A">
        <w:trPr>
          <w:jc w:val="center"/>
        </w:trPr>
        <w:tc>
          <w:tcPr>
            <w:tcW w:w="985" w:type="dxa"/>
          </w:tcPr>
          <w:p w:rsidR="00901140" w:rsidRDefault="00901140" w:rsidP="00EC5379">
            <w:pPr>
              <w:pStyle w:val="ListParagraph"/>
              <w:ind w:left="0"/>
              <w:jc w:val="center"/>
            </w:pPr>
            <w:r>
              <w:t>5</w:t>
            </w:r>
            <w:r w:rsidR="00226847">
              <w:t>.</w:t>
            </w:r>
          </w:p>
        </w:tc>
        <w:tc>
          <w:tcPr>
            <w:tcW w:w="2340" w:type="dxa"/>
          </w:tcPr>
          <w:p w:rsidR="00901140" w:rsidRDefault="00901140" w:rsidP="00443CEC">
            <w:pPr>
              <w:pStyle w:val="ListParagraph"/>
              <w:ind w:left="0"/>
            </w:pPr>
            <w:r>
              <w:t>Measure Name</w:t>
            </w:r>
          </w:p>
        </w:tc>
        <w:tc>
          <w:tcPr>
            <w:tcW w:w="4950" w:type="dxa"/>
          </w:tcPr>
          <w:p w:rsidR="00901140" w:rsidRDefault="00901140" w:rsidP="00443CEC">
            <w:pPr>
              <w:pStyle w:val="ListParagraph"/>
              <w:ind w:left="0"/>
            </w:pPr>
          </w:p>
        </w:tc>
      </w:tr>
      <w:tr w:rsidR="00901140" w:rsidTr="00A23C5A">
        <w:trPr>
          <w:jc w:val="center"/>
        </w:trPr>
        <w:tc>
          <w:tcPr>
            <w:tcW w:w="985" w:type="dxa"/>
          </w:tcPr>
          <w:p w:rsidR="00901140" w:rsidRDefault="00901140" w:rsidP="00EC5379">
            <w:pPr>
              <w:pStyle w:val="ListParagraph"/>
              <w:ind w:left="0"/>
              <w:jc w:val="center"/>
            </w:pPr>
            <w:r>
              <w:t>6</w:t>
            </w:r>
            <w:r w:rsidR="00226847">
              <w:t>.</w:t>
            </w:r>
          </w:p>
        </w:tc>
        <w:tc>
          <w:tcPr>
            <w:tcW w:w="2340" w:type="dxa"/>
          </w:tcPr>
          <w:p w:rsidR="00901140" w:rsidRDefault="00901140" w:rsidP="00443CEC">
            <w:pPr>
              <w:pStyle w:val="ListParagraph"/>
              <w:ind w:left="0"/>
            </w:pPr>
            <w:r>
              <w:t>Report start date</w:t>
            </w:r>
          </w:p>
        </w:tc>
        <w:tc>
          <w:tcPr>
            <w:tcW w:w="4950" w:type="dxa"/>
          </w:tcPr>
          <w:p w:rsidR="00901140" w:rsidRDefault="00901140" w:rsidP="00443CEC">
            <w:pPr>
              <w:pStyle w:val="ListParagraph"/>
              <w:ind w:left="0"/>
            </w:pPr>
            <w:bookmarkStart w:id="0" w:name="_GoBack"/>
            <w:bookmarkEnd w:id="0"/>
          </w:p>
        </w:tc>
      </w:tr>
      <w:tr w:rsidR="00901140" w:rsidTr="00A23C5A">
        <w:trPr>
          <w:jc w:val="center"/>
        </w:trPr>
        <w:tc>
          <w:tcPr>
            <w:tcW w:w="985" w:type="dxa"/>
          </w:tcPr>
          <w:p w:rsidR="00901140" w:rsidRDefault="00901140" w:rsidP="00EC5379">
            <w:pPr>
              <w:pStyle w:val="ListParagraph"/>
              <w:ind w:left="0"/>
              <w:jc w:val="center"/>
            </w:pPr>
            <w:r>
              <w:t>7</w:t>
            </w:r>
            <w:r w:rsidR="00226847">
              <w:t>.</w:t>
            </w:r>
          </w:p>
        </w:tc>
        <w:tc>
          <w:tcPr>
            <w:tcW w:w="2340" w:type="dxa"/>
          </w:tcPr>
          <w:p w:rsidR="00901140" w:rsidRDefault="00901140" w:rsidP="00443CEC">
            <w:pPr>
              <w:pStyle w:val="ListParagraph"/>
              <w:ind w:left="0"/>
            </w:pPr>
            <w:r>
              <w:t>Report end date</w:t>
            </w:r>
          </w:p>
        </w:tc>
        <w:tc>
          <w:tcPr>
            <w:tcW w:w="4950" w:type="dxa"/>
          </w:tcPr>
          <w:p w:rsidR="00901140" w:rsidRDefault="00901140" w:rsidP="00443CEC">
            <w:pPr>
              <w:pStyle w:val="ListParagraph"/>
              <w:ind w:left="0"/>
            </w:pPr>
          </w:p>
        </w:tc>
      </w:tr>
      <w:tr w:rsidR="00901140" w:rsidTr="00A23C5A">
        <w:trPr>
          <w:jc w:val="center"/>
        </w:trPr>
        <w:tc>
          <w:tcPr>
            <w:tcW w:w="985" w:type="dxa"/>
          </w:tcPr>
          <w:p w:rsidR="00901140" w:rsidRDefault="00901140" w:rsidP="00EC5379">
            <w:pPr>
              <w:pStyle w:val="ListParagraph"/>
              <w:ind w:left="0"/>
              <w:jc w:val="center"/>
            </w:pPr>
            <w:r>
              <w:t>8</w:t>
            </w:r>
            <w:r w:rsidR="00226847">
              <w:t>.</w:t>
            </w:r>
          </w:p>
        </w:tc>
        <w:tc>
          <w:tcPr>
            <w:tcW w:w="2340" w:type="dxa"/>
          </w:tcPr>
          <w:p w:rsidR="00901140" w:rsidRDefault="00901140" w:rsidP="009A1E66">
            <w:pPr>
              <w:pStyle w:val="ListParagraph"/>
              <w:ind w:left="0"/>
            </w:pPr>
            <w:r>
              <w:t>Report creation date</w:t>
            </w:r>
          </w:p>
        </w:tc>
        <w:tc>
          <w:tcPr>
            <w:tcW w:w="4950" w:type="dxa"/>
          </w:tcPr>
          <w:p w:rsidR="00901140" w:rsidRDefault="00901140" w:rsidP="009A1E66">
            <w:pPr>
              <w:pStyle w:val="ListParagraph"/>
              <w:ind w:left="0"/>
            </w:pPr>
          </w:p>
        </w:tc>
      </w:tr>
      <w:tr w:rsidR="00901140" w:rsidTr="00A23C5A">
        <w:trPr>
          <w:jc w:val="center"/>
        </w:trPr>
        <w:tc>
          <w:tcPr>
            <w:tcW w:w="985" w:type="dxa"/>
          </w:tcPr>
          <w:p w:rsidR="00901140" w:rsidRDefault="00901140" w:rsidP="00EC5379">
            <w:pPr>
              <w:pStyle w:val="ListParagraph"/>
              <w:ind w:left="0"/>
              <w:jc w:val="center"/>
            </w:pPr>
            <w:r>
              <w:t>9</w:t>
            </w:r>
            <w:r w:rsidR="00226847">
              <w:t>.</w:t>
            </w:r>
          </w:p>
        </w:tc>
        <w:tc>
          <w:tcPr>
            <w:tcW w:w="2340" w:type="dxa"/>
          </w:tcPr>
          <w:p w:rsidR="00901140" w:rsidRDefault="00901140" w:rsidP="009A1E66">
            <w:pPr>
              <w:pStyle w:val="ListParagraph"/>
              <w:ind w:left="0"/>
            </w:pPr>
            <w:r>
              <w:t>Records reviewed</w:t>
            </w:r>
          </w:p>
        </w:tc>
        <w:tc>
          <w:tcPr>
            <w:tcW w:w="4950" w:type="dxa"/>
          </w:tcPr>
          <w:p w:rsidR="00901140" w:rsidRDefault="00901140" w:rsidP="009A1E66">
            <w:pPr>
              <w:pStyle w:val="ListParagraph"/>
              <w:ind w:left="0"/>
            </w:pPr>
            <w:r>
              <w:t>Total clients with any service in the period</w:t>
            </w:r>
          </w:p>
        </w:tc>
      </w:tr>
      <w:tr w:rsidR="00901140" w:rsidTr="00A23C5A">
        <w:trPr>
          <w:jc w:val="center"/>
        </w:trPr>
        <w:tc>
          <w:tcPr>
            <w:tcW w:w="985" w:type="dxa"/>
          </w:tcPr>
          <w:p w:rsidR="00901140" w:rsidRDefault="00901140" w:rsidP="00EC5379">
            <w:pPr>
              <w:pStyle w:val="ListParagraph"/>
              <w:ind w:left="0"/>
              <w:jc w:val="center"/>
            </w:pPr>
            <w:r>
              <w:t>10</w:t>
            </w:r>
            <w:r w:rsidR="00226847">
              <w:t>.</w:t>
            </w:r>
          </w:p>
        </w:tc>
        <w:tc>
          <w:tcPr>
            <w:tcW w:w="2340" w:type="dxa"/>
          </w:tcPr>
          <w:p w:rsidR="00901140" w:rsidRDefault="00901140" w:rsidP="009A1E66">
            <w:pPr>
              <w:pStyle w:val="ListParagraph"/>
              <w:ind w:left="0"/>
            </w:pPr>
            <w:r>
              <w:t>Numerator</w:t>
            </w:r>
          </w:p>
        </w:tc>
        <w:tc>
          <w:tcPr>
            <w:tcW w:w="4950" w:type="dxa"/>
          </w:tcPr>
          <w:p w:rsidR="00901140" w:rsidRDefault="00901140" w:rsidP="009A1E66">
            <w:pPr>
              <w:pStyle w:val="ListParagraph"/>
              <w:ind w:left="0"/>
            </w:pPr>
            <w:r>
              <w:t>Count of clients</w:t>
            </w:r>
          </w:p>
        </w:tc>
      </w:tr>
      <w:tr w:rsidR="00901140" w:rsidTr="00A23C5A">
        <w:trPr>
          <w:jc w:val="center"/>
        </w:trPr>
        <w:tc>
          <w:tcPr>
            <w:tcW w:w="985" w:type="dxa"/>
          </w:tcPr>
          <w:p w:rsidR="00901140" w:rsidRDefault="00901140" w:rsidP="00EC5379">
            <w:pPr>
              <w:pStyle w:val="ListParagraph"/>
              <w:ind w:left="0"/>
              <w:jc w:val="center"/>
            </w:pPr>
            <w:r>
              <w:t>11</w:t>
            </w:r>
            <w:r w:rsidR="00226847">
              <w:t>.</w:t>
            </w:r>
          </w:p>
        </w:tc>
        <w:tc>
          <w:tcPr>
            <w:tcW w:w="2340" w:type="dxa"/>
          </w:tcPr>
          <w:p w:rsidR="00901140" w:rsidRDefault="00901140" w:rsidP="009A1E66">
            <w:pPr>
              <w:pStyle w:val="ListParagraph"/>
              <w:ind w:left="0"/>
            </w:pPr>
            <w:r>
              <w:t>Denominator</w:t>
            </w:r>
          </w:p>
        </w:tc>
        <w:tc>
          <w:tcPr>
            <w:tcW w:w="4950" w:type="dxa"/>
          </w:tcPr>
          <w:p w:rsidR="00901140" w:rsidRDefault="00901140" w:rsidP="009A1E66">
            <w:pPr>
              <w:pStyle w:val="ListParagraph"/>
              <w:ind w:left="0"/>
            </w:pPr>
            <w:r>
              <w:t>Count of clients</w:t>
            </w:r>
          </w:p>
        </w:tc>
      </w:tr>
      <w:tr w:rsidR="00901140" w:rsidTr="00A23C5A">
        <w:trPr>
          <w:jc w:val="center"/>
        </w:trPr>
        <w:tc>
          <w:tcPr>
            <w:tcW w:w="985" w:type="dxa"/>
          </w:tcPr>
          <w:p w:rsidR="00901140" w:rsidRDefault="00901140" w:rsidP="00EC5379">
            <w:pPr>
              <w:pStyle w:val="ListParagraph"/>
              <w:ind w:left="0"/>
              <w:jc w:val="center"/>
            </w:pPr>
            <w:r>
              <w:t>12</w:t>
            </w:r>
            <w:r w:rsidR="00226847">
              <w:t>.</w:t>
            </w:r>
          </w:p>
        </w:tc>
        <w:tc>
          <w:tcPr>
            <w:tcW w:w="2340" w:type="dxa"/>
          </w:tcPr>
          <w:p w:rsidR="00901140" w:rsidRDefault="005E792E" w:rsidP="009A1E66">
            <w:pPr>
              <w:pStyle w:val="ListParagraph"/>
              <w:ind w:left="0"/>
            </w:pPr>
            <w:r>
              <w:t>Min Age</w:t>
            </w:r>
          </w:p>
        </w:tc>
        <w:tc>
          <w:tcPr>
            <w:tcW w:w="4950" w:type="dxa"/>
          </w:tcPr>
          <w:p w:rsidR="00901140" w:rsidRDefault="005E792E" w:rsidP="009A1E66">
            <w:pPr>
              <w:pStyle w:val="ListParagraph"/>
              <w:ind w:left="0"/>
            </w:pPr>
            <w:r>
              <w:t>Minimum age if age range set</w:t>
            </w:r>
          </w:p>
        </w:tc>
      </w:tr>
      <w:tr w:rsidR="00901140" w:rsidTr="00A23C5A">
        <w:trPr>
          <w:jc w:val="center"/>
        </w:trPr>
        <w:tc>
          <w:tcPr>
            <w:tcW w:w="985" w:type="dxa"/>
          </w:tcPr>
          <w:p w:rsidR="00901140" w:rsidRDefault="00901140" w:rsidP="00EC5379">
            <w:pPr>
              <w:pStyle w:val="ListParagraph"/>
              <w:ind w:left="0"/>
              <w:jc w:val="center"/>
            </w:pPr>
            <w:r>
              <w:t>13</w:t>
            </w:r>
            <w:r w:rsidR="00226847">
              <w:t>.</w:t>
            </w:r>
          </w:p>
        </w:tc>
        <w:tc>
          <w:tcPr>
            <w:tcW w:w="2340" w:type="dxa"/>
          </w:tcPr>
          <w:p w:rsidR="00901140" w:rsidRDefault="005E792E" w:rsidP="009A1E66">
            <w:pPr>
              <w:pStyle w:val="ListParagraph"/>
              <w:ind w:left="0"/>
            </w:pPr>
            <w:r>
              <w:t>Max Age</w:t>
            </w:r>
          </w:p>
        </w:tc>
        <w:tc>
          <w:tcPr>
            <w:tcW w:w="4950" w:type="dxa"/>
          </w:tcPr>
          <w:p w:rsidR="00901140" w:rsidRDefault="005E792E" w:rsidP="009A1E66">
            <w:pPr>
              <w:pStyle w:val="ListParagraph"/>
              <w:ind w:left="0"/>
            </w:pPr>
            <w:r>
              <w:t>Max age</w:t>
            </w:r>
          </w:p>
        </w:tc>
      </w:tr>
      <w:tr w:rsidR="00901140" w:rsidTr="00A23C5A">
        <w:trPr>
          <w:jc w:val="center"/>
        </w:trPr>
        <w:tc>
          <w:tcPr>
            <w:tcW w:w="985" w:type="dxa"/>
          </w:tcPr>
          <w:p w:rsidR="00901140" w:rsidRDefault="00901140" w:rsidP="00EC5379">
            <w:pPr>
              <w:pStyle w:val="ListParagraph"/>
              <w:ind w:left="0"/>
              <w:jc w:val="center"/>
            </w:pPr>
            <w:r>
              <w:t>14</w:t>
            </w:r>
            <w:r w:rsidR="00226847">
              <w:t>.</w:t>
            </w:r>
          </w:p>
        </w:tc>
        <w:tc>
          <w:tcPr>
            <w:tcW w:w="2340" w:type="dxa"/>
          </w:tcPr>
          <w:p w:rsidR="00901140" w:rsidRDefault="005E792E" w:rsidP="009A1E66">
            <w:pPr>
              <w:pStyle w:val="ListParagraph"/>
              <w:ind w:left="0"/>
            </w:pPr>
            <w:r>
              <w:t>Gender</w:t>
            </w:r>
          </w:p>
        </w:tc>
        <w:tc>
          <w:tcPr>
            <w:tcW w:w="4950" w:type="dxa"/>
          </w:tcPr>
          <w:p w:rsidR="00901140" w:rsidRDefault="005E792E" w:rsidP="009A1E66">
            <w:pPr>
              <w:pStyle w:val="ListParagraph"/>
              <w:ind w:left="0"/>
            </w:pPr>
            <w:r>
              <w:t>1=Male;</w:t>
            </w:r>
            <w:r>
              <w:br/>
              <w:t xml:space="preserve">2=female; </w:t>
            </w:r>
            <w:r>
              <w:br/>
              <w:t>3=Transgender(all);</w:t>
            </w:r>
            <w:r>
              <w:br/>
              <w:t>4=Trans MtoF;</w:t>
            </w:r>
            <w:r>
              <w:br/>
              <w:t>5=Trans FtoM</w:t>
            </w:r>
          </w:p>
          <w:p w:rsidR="005E792E" w:rsidRDefault="005E792E" w:rsidP="009A1E66">
            <w:pPr>
              <w:pStyle w:val="ListParagraph"/>
              <w:ind w:left="0"/>
            </w:pPr>
            <w:r>
              <w:t>6=Trans unk</w:t>
            </w:r>
          </w:p>
          <w:p w:rsidR="005E792E" w:rsidRDefault="005E792E" w:rsidP="009A1E66">
            <w:pPr>
              <w:pStyle w:val="ListParagraph"/>
              <w:ind w:left="0"/>
            </w:pPr>
            <w:r>
              <w:t>9=Unk</w:t>
            </w:r>
          </w:p>
        </w:tc>
      </w:tr>
      <w:tr w:rsidR="00226847" w:rsidTr="00A23C5A">
        <w:trPr>
          <w:jc w:val="center"/>
        </w:trPr>
        <w:tc>
          <w:tcPr>
            <w:tcW w:w="985" w:type="dxa"/>
          </w:tcPr>
          <w:p w:rsidR="00226847" w:rsidRDefault="00226847" w:rsidP="00EC5379">
            <w:pPr>
              <w:pStyle w:val="ListParagraph"/>
              <w:ind w:left="0"/>
              <w:jc w:val="center"/>
            </w:pPr>
            <w:r>
              <w:t>15.</w:t>
            </w:r>
          </w:p>
        </w:tc>
        <w:tc>
          <w:tcPr>
            <w:tcW w:w="2340" w:type="dxa"/>
          </w:tcPr>
          <w:p w:rsidR="00226847" w:rsidRDefault="00226847" w:rsidP="00443CEC">
            <w:pPr>
              <w:pStyle w:val="ListParagraph"/>
              <w:ind w:left="0"/>
            </w:pPr>
            <w:r>
              <w:t>Race/ethnicity</w:t>
            </w:r>
          </w:p>
        </w:tc>
        <w:tc>
          <w:tcPr>
            <w:tcW w:w="4950" w:type="dxa"/>
          </w:tcPr>
          <w:p w:rsidR="00226847" w:rsidRPr="00226847" w:rsidRDefault="00226847" w:rsidP="00226847">
            <w:pPr>
              <w:rPr>
                <w:rFonts w:cstheme="minorHAnsi"/>
                <w:sz w:val="20"/>
                <w:szCs w:val="20"/>
              </w:rPr>
            </w:pPr>
            <w:r w:rsidRPr="00226847">
              <w:rPr>
                <w:rFonts w:cstheme="minorHAnsi"/>
                <w:sz w:val="20"/>
                <w:szCs w:val="20"/>
              </w:rPr>
              <w:t>1 = American Indian/Alaska Native</w:t>
            </w:r>
          </w:p>
          <w:p w:rsidR="00226847" w:rsidRPr="00226847" w:rsidRDefault="00226847" w:rsidP="00226847">
            <w:pPr>
              <w:rPr>
                <w:rFonts w:cstheme="minorHAnsi"/>
                <w:sz w:val="20"/>
                <w:szCs w:val="20"/>
              </w:rPr>
            </w:pPr>
            <w:r w:rsidRPr="00226847">
              <w:rPr>
                <w:rFonts w:cstheme="minorHAnsi"/>
                <w:sz w:val="20"/>
                <w:szCs w:val="20"/>
              </w:rPr>
              <w:t xml:space="preserve">2 = Asian </w:t>
            </w:r>
          </w:p>
          <w:p w:rsidR="00226847" w:rsidRPr="00226847" w:rsidRDefault="00226847" w:rsidP="00226847">
            <w:pPr>
              <w:rPr>
                <w:rFonts w:cstheme="minorHAnsi"/>
                <w:sz w:val="20"/>
                <w:szCs w:val="20"/>
              </w:rPr>
            </w:pPr>
            <w:r w:rsidRPr="00226847">
              <w:rPr>
                <w:rFonts w:cstheme="minorHAnsi"/>
                <w:sz w:val="20"/>
                <w:szCs w:val="20"/>
              </w:rPr>
              <w:t>3 = Black/Afr. American</w:t>
            </w:r>
          </w:p>
          <w:p w:rsidR="00226847" w:rsidRPr="00226847" w:rsidRDefault="00226847" w:rsidP="00226847">
            <w:pPr>
              <w:rPr>
                <w:rFonts w:cstheme="minorHAnsi"/>
                <w:sz w:val="20"/>
                <w:szCs w:val="20"/>
              </w:rPr>
            </w:pPr>
            <w:r w:rsidRPr="00226847">
              <w:rPr>
                <w:rFonts w:cstheme="minorHAnsi"/>
                <w:sz w:val="20"/>
                <w:szCs w:val="20"/>
              </w:rPr>
              <w:t>4 = Hispanic /Latinx (any race)</w:t>
            </w:r>
          </w:p>
          <w:p w:rsidR="00226847" w:rsidRPr="00226847" w:rsidRDefault="00226847" w:rsidP="00226847">
            <w:pPr>
              <w:rPr>
                <w:rFonts w:cstheme="minorHAnsi"/>
                <w:sz w:val="20"/>
                <w:szCs w:val="20"/>
              </w:rPr>
            </w:pPr>
            <w:r w:rsidRPr="00226847">
              <w:rPr>
                <w:rFonts w:cstheme="minorHAnsi"/>
                <w:sz w:val="20"/>
                <w:szCs w:val="20"/>
              </w:rPr>
              <w:t>5 = Nat Haw/Pac. Island</w:t>
            </w:r>
          </w:p>
          <w:p w:rsidR="00226847" w:rsidRPr="00226847" w:rsidRDefault="00226847" w:rsidP="00226847">
            <w:pPr>
              <w:rPr>
                <w:rFonts w:cstheme="minorHAnsi"/>
                <w:sz w:val="20"/>
                <w:szCs w:val="20"/>
              </w:rPr>
            </w:pPr>
            <w:r w:rsidRPr="00226847">
              <w:rPr>
                <w:rFonts w:cstheme="minorHAnsi"/>
                <w:sz w:val="20"/>
                <w:szCs w:val="20"/>
              </w:rPr>
              <w:t>6 = White</w:t>
            </w:r>
          </w:p>
          <w:p w:rsidR="00226847" w:rsidRPr="00226847" w:rsidRDefault="00226847" w:rsidP="00226847">
            <w:pPr>
              <w:pStyle w:val="ListParagraph"/>
              <w:ind w:left="0"/>
            </w:pPr>
            <w:r w:rsidRPr="00226847">
              <w:rPr>
                <w:rFonts w:cstheme="minorHAnsi"/>
                <w:sz w:val="20"/>
                <w:szCs w:val="20"/>
              </w:rPr>
              <w:t>7 = Multiracial</w:t>
            </w:r>
          </w:p>
        </w:tc>
      </w:tr>
      <w:tr w:rsidR="00226847" w:rsidTr="00A23C5A">
        <w:trPr>
          <w:jc w:val="center"/>
        </w:trPr>
        <w:tc>
          <w:tcPr>
            <w:tcW w:w="985" w:type="dxa"/>
          </w:tcPr>
          <w:p w:rsidR="00226847" w:rsidRDefault="00226847" w:rsidP="00EC5379">
            <w:pPr>
              <w:pStyle w:val="ListParagraph"/>
              <w:ind w:left="0"/>
              <w:jc w:val="center"/>
            </w:pPr>
            <w:r>
              <w:t>16.</w:t>
            </w:r>
          </w:p>
        </w:tc>
        <w:tc>
          <w:tcPr>
            <w:tcW w:w="2340" w:type="dxa"/>
          </w:tcPr>
          <w:p w:rsidR="00226847" w:rsidRDefault="00226847" w:rsidP="00226847">
            <w:pPr>
              <w:pStyle w:val="ListParagraph"/>
              <w:ind w:left="0"/>
            </w:pPr>
            <w:r>
              <w:t>HIV risk</w:t>
            </w:r>
          </w:p>
        </w:tc>
        <w:tc>
          <w:tcPr>
            <w:tcW w:w="4950" w:type="dxa"/>
          </w:tcPr>
          <w:p w:rsidR="00226847" w:rsidRPr="00226847" w:rsidRDefault="00226847" w:rsidP="00226847">
            <w:pPr>
              <w:pStyle w:val="NoSpacing"/>
              <w:rPr>
                <w:rFonts w:cstheme="minorHAnsi"/>
                <w:szCs w:val="20"/>
              </w:rPr>
            </w:pPr>
            <w:r w:rsidRPr="00226847">
              <w:rPr>
                <w:rFonts w:cstheme="minorHAnsi"/>
                <w:szCs w:val="20"/>
              </w:rPr>
              <w:t xml:space="preserve">1 = Male to Male sexual contact (MSM) </w:t>
            </w:r>
            <w:r w:rsidRPr="00226847">
              <w:rPr>
                <w:rFonts w:cstheme="minorHAnsi"/>
                <w:szCs w:val="20"/>
              </w:rPr>
              <w:br/>
              <w:t xml:space="preserve">2 = Injection drug use (IDU) </w:t>
            </w:r>
          </w:p>
          <w:p w:rsidR="00226847" w:rsidRPr="00226847" w:rsidRDefault="00226847" w:rsidP="00226847">
            <w:pPr>
              <w:pStyle w:val="NoSpacing"/>
              <w:rPr>
                <w:rFonts w:cstheme="minorHAnsi"/>
                <w:szCs w:val="20"/>
              </w:rPr>
            </w:pPr>
            <w:r w:rsidRPr="00226847">
              <w:rPr>
                <w:rFonts w:cstheme="minorHAnsi"/>
                <w:szCs w:val="20"/>
              </w:rPr>
              <w:t>3 = MSM and IDU</w:t>
            </w:r>
            <w:r w:rsidRPr="00226847">
              <w:rPr>
                <w:rFonts w:cstheme="minorHAnsi"/>
                <w:szCs w:val="20"/>
              </w:rPr>
              <w:br/>
              <w:t xml:space="preserve">4 = Heterosexual contact </w:t>
            </w:r>
          </w:p>
          <w:p w:rsidR="00226847" w:rsidRPr="00226847" w:rsidRDefault="00226847" w:rsidP="00226847">
            <w:pPr>
              <w:pStyle w:val="NoSpacing"/>
              <w:rPr>
                <w:rFonts w:cstheme="minorHAnsi"/>
                <w:szCs w:val="20"/>
              </w:rPr>
            </w:pPr>
            <w:r w:rsidRPr="00226847">
              <w:rPr>
                <w:rFonts w:cstheme="minorHAnsi"/>
                <w:szCs w:val="20"/>
              </w:rPr>
              <w:t>5 = Perinatal transmission</w:t>
            </w:r>
          </w:p>
          <w:p w:rsidR="00226847" w:rsidRPr="00226847" w:rsidRDefault="00226847" w:rsidP="00226847">
            <w:pPr>
              <w:pStyle w:val="NoSpacing"/>
              <w:rPr>
                <w:rFonts w:cstheme="minorHAnsi"/>
                <w:szCs w:val="20"/>
              </w:rPr>
            </w:pPr>
            <w:r w:rsidRPr="00226847">
              <w:rPr>
                <w:rFonts w:cstheme="minorHAnsi"/>
                <w:szCs w:val="20"/>
              </w:rPr>
              <w:t>6 = Other</w:t>
            </w:r>
          </w:p>
          <w:p w:rsidR="00226847" w:rsidRPr="00226847" w:rsidRDefault="00226847" w:rsidP="00226847">
            <w:pPr>
              <w:pStyle w:val="NoSpacing"/>
              <w:rPr>
                <w:rFonts w:cstheme="minorHAnsi"/>
                <w:szCs w:val="20"/>
              </w:rPr>
            </w:pPr>
            <w:r w:rsidRPr="00226847">
              <w:rPr>
                <w:rFonts w:cstheme="minorHAnsi"/>
                <w:szCs w:val="20"/>
              </w:rPr>
              <w:t>9 = unknown</w:t>
            </w:r>
          </w:p>
        </w:tc>
      </w:tr>
    </w:tbl>
    <w:p w:rsidR="00255E22" w:rsidRDefault="00255E22" w:rsidP="009A1E66">
      <w:pPr>
        <w:pStyle w:val="ListParagraph"/>
      </w:pPr>
    </w:p>
    <w:sectPr w:rsidR="00255E22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FA" w:rsidRDefault="00455CFA" w:rsidP="002B04E6">
      <w:pPr>
        <w:spacing w:after="0" w:line="240" w:lineRule="auto"/>
      </w:pPr>
      <w:r>
        <w:separator/>
      </w:r>
    </w:p>
  </w:endnote>
  <w:endnote w:type="continuationSeparator" w:id="0">
    <w:p w:rsidR="00455CFA" w:rsidRDefault="00455CFA" w:rsidP="002B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3870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04E6" w:rsidRDefault="002B04E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CFA" w:rsidRPr="00455CF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Page- CAREWare webinar </w:t>
        </w:r>
        <w:r w:rsidR="00617E07">
          <w:rPr>
            <w:color w:val="7F7F7F" w:themeColor="background1" w:themeShade="7F"/>
            <w:spacing w:val="60"/>
          </w:rPr>
          <w:t>reference guide- Nov/Dec 2020</w:t>
        </w:r>
      </w:p>
    </w:sdtContent>
  </w:sdt>
  <w:p w:rsidR="002B04E6" w:rsidRDefault="002B0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FA" w:rsidRDefault="00455CFA" w:rsidP="002B04E6">
      <w:pPr>
        <w:spacing w:after="0" w:line="240" w:lineRule="auto"/>
      </w:pPr>
      <w:r>
        <w:separator/>
      </w:r>
    </w:p>
  </w:footnote>
  <w:footnote w:type="continuationSeparator" w:id="0">
    <w:p w:rsidR="00455CFA" w:rsidRDefault="00455CFA" w:rsidP="002B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157"/>
    <w:multiLevelType w:val="hybridMultilevel"/>
    <w:tmpl w:val="3A043470"/>
    <w:lvl w:ilvl="0" w:tplc="1A72E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EE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4D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61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AC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2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0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C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21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B30C71"/>
    <w:multiLevelType w:val="hybridMultilevel"/>
    <w:tmpl w:val="1A1E5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27D3"/>
    <w:multiLevelType w:val="hybridMultilevel"/>
    <w:tmpl w:val="13DA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036F"/>
    <w:multiLevelType w:val="hybridMultilevel"/>
    <w:tmpl w:val="3722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0AD5"/>
    <w:multiLevelType w:val="hybridMultilevel"/>
    <w:tmpl w:val="69485D20"/>
    <w:lvl w:ilvl="0" w:tplc="FC2E0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AF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8C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02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AB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4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28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00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8F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B477C9"/>
    <w:multiLevelType w:val="hybridMultilevel"/>
    <w:tmpl w:val="5316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65DF6"/>
    <w:multiLevelType w:val="hybridMultilevel"/>
    <w:tmpl w:val="2FA4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27C94"/>
    <w:multiLevelType w:val="hybridMultilevel"/>
    <w:tmpl w:val="A2B6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E6AA3"/>
    <w:multiLevelType w:val="hybridMultilevel"/>
    <w:tmpl w:val="7C58D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AF036D"/>
    <w:multiLevelType w:val="hybridMultilevel"/>
    <w:tmpl w:val="5212E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8172A"/>
    <w:multiLevelType w:val="hybridMultilevel"/>
    <w:tmpl w:val="D750A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E02990"/>
    <w:multiLevelType w:val="hybridMultilevel"/>
    <w:tmpl w:val="5FCEF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BD7B47"/>
    <w:multiLevelType w:val="hybridMultilevel"/>
    <w:tmpl w:val="4B86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1255B"/>
    <w:multiLevelType w:val="hybridMultilevel"/>
    <w:tmpl w:val="8D184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4F0150"/>
    <w:multiLevelType w:val="hybridMultilevel"/>
    <w:tmpl w:val="2416E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9599C"/>
    <w:multiLevelType w:val="hybridMultilevel"/>
    <w:tmpl w:val="02B68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857250"/>
    <w:multiLevelType w:val="hybridMultilevel"/>
    <w:tmpl w:val="5C36DCC6"/>
    <w:lvl w:ilvl="0" w:tplc="4DC8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2B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06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06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20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2B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00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0D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0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15"/>
  </w:num>
  <w:num w:numId="9">
    <w:abstractNumId w:val="11"/>
  </w:num>
  <w:num w:numId="10">
    <w:abstractNumId w:val="6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5"/>
    <w:rsid w:val="00036A46"/>
    <w:rsid w:val="000979A1"/>
    <w:rsid w:val="000C4AE9"/>
    <w:rsid w:val="000D0A6C"/>
    <w:rsid w:val="0010570C"/>
    <w:rsid w:val="001069C8"/>
    <w:rsid w:val="001075C5"/>
    <w:rsid w:val="0011111A"/>
    <w:rsid w:val="00136103"/>
    <w:rsid w:val="00171694"/>
    <w:rsid w:val="0018083D"/>
    <w:rsid w:val="001A3927"/>
    <w:rsid w:val="001C4705"/>
    <w:rsid w:val="001D7847"/>
    <w:rsid w:val="001E78B0"/>
    <w:rsid w:val="00213062"/>
    <w:rsid w:val="00225D56"/>
    <w:rsid w:val="00226847"/>
    <w:rsid w:val="00255E22"/>
    <w:rsid w:val="00260E81"/>
    <w:rsid w:val="002731B9"/>
    <w:rsid w:val="002B04E6"/>
    <w:rsid w:val="002D2046"/>
    <w:rsid w:val="00316E95"/>
    <w:rsid w:val="00331F68"/>
    <w:rsid w:val="00365A8E"/>
    <w:rsid w:val="003A1111"/>
    <w:rsid w:val="003C077B"/>
    <w:rsid w:val="003E314C"/>
    <w:rsid w:val="004252C5"/>
    <w:rsid w:val="00426A5F"/>
    <w:rsid w:val="004333B5"/>
    <w:rsid w:val="004346D6"/>
    <w:rsid w:val="00443322"/>
    <w:rsid w:val="00455CFA"/>
    <w:rsid w:val="004F087B"/>
    <w:rsid w:val="005171EF"/>
    <w:rsid w:val="00525F87"/>
    <w:rsid w:val="00527337"/>
    <w:rsid w:val="00546ED4"/>
    <w:rsid w:val="00566FD8"/>
    <w:rsid w:val="005803E6"/>
    <w:rsid w:val="00580F05"/>
    <w:rsid w:val="00587CA3"/>
    <w:rsid w:val="005B0333"/>
    <w:rsid w:val="005C4495"/>
    <w:rsid w:val="005E271A"/>
    <w:rsid w:val="005E792E"/>
    <w:rsid w:val="00617E07"/>
    <w:rsid w:val="006223FE"/>
    <w:rsid w:val="0067048A"/>
    <w:rsid w:val="006755DA"/>
    <w:rsid w:val="006B1876"/>
    <w:rsid w:val="006E5D48"/>
    <w:rsid w:val="00706A43"/>
    <w:rsid w:val="00716FB8"/>
    <w:rsid w:val="00730A8F"/>
    <w:rsid w:val="00743703"/>
    <w:rsid w:val="007463C0"/>
    <w:rsid w:val="00756DFD"/>
    <w:rsid w:val="007A3AEB"/>
    <w:rsid w:val="007C0F96"/>
    <w:rsid w:val="00806F57"/>
    <w:rsid w:val="00853474"/>
    <w:rsid w:val="00853C22"/>
    <w:rsid w:val="00857833"/>
    <w:rsid w:val="00883C76"/>
    <w:rsid w:val="008A6667"/>
    <w:rsid w:val="008B3672"/>
    <w:rsid w:val="008C7899"/>
    <w:rsid w:val="008C7A0F"/>
    <w:rsid w:val="008F776B"/>
    <w:rsid w:val="00901140"/>
    <w:rsid w:val="00921217"/>
    <w:rsid w:val="00943CCF"/>
    <w:rsid w:val="009A1E66"/>
    <w:rsid w:val="009A7F08"/>
    <w:rsid w:val="009B1129"/>
    <w:rsid w:val="009C1105"/>
    <w:rsid w:val="009D329F"/>
    <w:rsid w:val="009E1D91"/>
    <w:rsid w:val="00A12091"/>
    <w:rsid w:val="00A23C5A"/>
    <w:rsid w:val="00A30535"/>
    <w:rsid w:val="00A5297E"/>
    <w:rsid w:val="00A75975"/>
    <w:rsid w:val="00AA4A06"/>
    <w:rsid w:val="00AA593F"/>
    <w:rsid w:val="00AA6BFD"/>
    <w:rsid w:val="00AA7949"/>
    <w:rsid w:val="00AD23CC"/>
    <w:rsid w:val="00AF05B1"/>
    <w:rsid w:val="00AF0D71"/>
    <w:rsid w:val="00B2217F"/>
    <w:rsid w:val="00B4550D"/>
    <w:rsid w:val="00B53A5C"/>
    <w:rsid w:val="00B640A6"/>
    <w:rsid w:val="00B84CAC"/>
    <w:rsid w:val="00B93B44"/>
    <w:rsid w:val="00C30D06"/>
    <w:rsid w:val="00C32456"/>
    <w:rsid w:val="00C74BB3"/>
    <w:rsid w:val="00CB6DF2"/>
    <w:rsid w:val="00CD1FC2"/>
    <w:rsid w:val="00CD5953"/>
    <w:rsid w:val="00CE5100"/>
    <w:rsid w:val="00CF2417"/>
    <w:rsid w:val="00D127EB"/>
    <w:rsid w:val="00DE6A5E"/>
    <w:rsid w:val="00E17F3A"/>
    <w:rsid w:val="00E33D5F"/>
    <w:rsid w:val="00E35CB8"/>
    <w:rsid w:val="00E60E9F"/>
    <w:rsid w:val="00E86634"/>
    <w:rsid w:val="00E86653"/>
    <w:rsid w:val="00EC2820"/>
    <w:rsid w:val="00EC5379"/>
    <w:rsid w:val="00ED7478"/>
    <w:rsid w:val="00EE1CA6"/>
    <w:rsid w:val="00F04403"/>
    <w:rsid w:val="00F3662D"/>
    <w:rsid w:val="00F504AC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2729"/>
  <w15:chartTrackingRefBased/>
  <w15:docId w15:val="{291E2FFD-D016-4DD3-8FB4-0BBF8FE1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E6"/>
  </w:style>
  <w:style w:type="paragraph" w:styleId="Footer">
    <w:name w:val="footer"/>
    <w:basedOn w:val="Normal"/>
    <w:link w:val="FooterChar"/>
    <w:uiPriority w:val="99"/>
    <w:unhideWhenUsed/>
    <w:rsid w:val="002B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E6"/>
  </w:style>
  <w:style w:type="paragraph" w:styleId="BalloonText">
    <w:name w:val="Balloon Text"/>
    <w:basedOn w:val="Normal"/>
    <w:link w:val="BalloonTextChar"/>
    <w:uiPriority w:val="99"/>
    <w:semiHidden/>
    <w:unhideWhenUsed/>
    <w:rsid w:val="0074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6847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3A87-336C-4F17-A92C-83BD7E55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15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Milberg, John (HRSA)</dc:creator>
  <cp:keywords/>
  <dc:description/>
  <cp:lastModifiedBy>Milberg, John (HRSA)</cp:lastModifiedBy>
  <cp:revision>95</cp:revision>
  <cp:lastPrinted>2020-10-31T15:39:00Z</cp:lastPrinted>
  <dcterms:created xsi:type="dcterms:W3CDTF">2020-10-29T14:48:00Z</dcterms:created>
  <dcterms:modified xsi:type="dcterms:W3CDTF">2020-11-09T17:11:00Z</dcterms:modified>
</cp:coreProperties>
</file>