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8C156" w14:textId="77777777" w:rsidR="00DC3A0A" w:rsidRDefault="00DC3A0A">
      <w:pPr>
        <w:spacing w:line="200" w:lineRule="exact"/>
      </w:pPr>
    </w:p>
    <w:p w14:paraId="5F5DC566" w14:textId="77777777" w:rsidR="00DC3A0A" w:rsidRDefault="00DC3A0A">
      <w:pPr>
        <w:spacing w:line="200" w:lineRule="exact"/>
      </w:pPr>
    </w:p>
    <w:p w14:paraId="2B6ACCFF" w14:textId="77777777" w:rsidR="00DC3A0A" w:rsidRDefault="00DC3A0A">
      <w:pPr>
        <w:spacing w:before="6" w:line="240" w:lineRule="exact"/>
        <w:rPr>
          <w:sz w:val="24"/>
          <w:szCs w:val="24"/>
        </w:rPr>
      </w:pPr>
    </w:p>
    <w:p w14:paraId="3B471E8A" w14:textId="77777777" w:rsidR="00DC3A0A" w:rsidRDefault="00B47BD4">
      <w:pPr>
        <w:ind w:left="2471"/>
      </w:pPr>
      <w:r>
        <w:rPr>
          <w:noProof/>
        </w:rPr>
        <w:pict w14:anchorId="4C707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2pt;height:155.75pt;mso-width-percent:0;mso-height-percent:0;mso-width-percent:0;mso-height-percent:0">
            <v:imagedata r:id="rId8" o:title=""/>
          </v:shape>
        </w:pict>
      </w:r>
    </w:p>
    <w:p w14:paraId="326B6E0C" w14:textId="77777777" w:rsidR="00DC3A0A" w:rsidRDefault="00DC3A0A">
      <w:pPr>
        <w:spacing w:before="5" w:line="100" w:lineRule="exact"/>
        <w:rPr>
          <w:sz w:val="10"/>
          <w:szCs w:val="10"/>
        </w:rPr>
      </w:pPr>
    </w:p>
    <w:p w14:paraId="5E699AFF" w14:textId="77777777" w:rsidR="00DC3A0A" w:rsidRDefault="00DC3A0A">
      <w:pPr>
        <w:spacing w:line="200" w:lineRule="exact"/>
      </w:pPr>
    </w:p>
    <w:p w14:paraId="146C2445" w14:textId="77777777" w:rsidR="00DC3A0A" w:rsidRDefault="00DC3A0A">
      <w:pPr>
        <w:spacing w:line="200" w:lineRule="exact"/>
      </w:pPr>
    </w:p>
    <w:p w14:paraId="13B839AB" w14:textId="77777777" w:rsidR="00DC3A0A" w:rsidRDefault="00DC3A0A">
      <w:pPr>
        <w:spacing w:line="200" w:lineRule="exact"/>
      </w:pPr>
    </w:p>
    <w:p w14:paraId="1D891D5B" w14:textId="77777777" w:rsidR="00DC3A0A" w:rsidRDefault="00DC3A0A">
      <w:pPr>
        <w:spacing w:line="200" w:lineRule="exact"/>
      </w:pPr>
    </w:p>
    <w:p w14:paraId="3037E36F" w14:textId="77777777" w:rsidR="00DC3A0A" w:rsidRDefault="004374F5">
      <w:pPr>
        <w:spacing w:line="460" w:lineRule="exact"/>
        <w:ind w:left="1985" w:right="1924"/>
        <w:jc w:val="center"/>
        <w:rPr>
          <w:rFonts w:ascii="Calibri" w:eastAsia="Calibri" w:hAnsi="Calibri" w:cs="Calibri"/>
          <w:sz w:val="40"/>
          <w:szCs w:val="40"/>
        </w:rPr>
      </w:pPr>
      <w:r>
        <w:rPr>
          <w:rFonts w:ascii="Calibri" w:eastAsia="Calibri" w:hAnsi="Calibri" w:cs="Calibri"/>
          <w:b/>
          <w:position w:val="1"/>
          <w:sz w:val="40"/>
          <w:szCs w:val="40"/>
        </w:rPr>
        <w:t>His He</w:t>
      </w:r>
      <w:r>
        <w:rPr>
          <w:rFonts w:ascii="Calibri" w:eastAsia="Calibri" w:hAnsi="Calibri" w:cs="Calibri"/>
          <w:b/>
          <w:spacing w:val="-2"/>
          <w:position w:val="1"/>
          <w:sz w:val="40"/>
          <w:szCs w:val="40"/>
        </w:rPr>
        <w:t>a</w:t>
      </w:r>
      <w:r>
        <w:rPr>
          <w:rFonts w:ascii="Calibri" w:eastAsia="Calibri" w:hAnsi="Calibri" w:cs="Calibri"/>
          <w:b/>
          <w:position w:val="1"/>
          <w:sz w:val="40"/>
          <w:szCs w:val="40"/>
        </w:rPr>
        <w:t>lth W</w:t>
      </w:r>
      <w:r>
        <w:rPr>
          <w:rFonts w:ascii="Calibri" w:eastAsia="Calibri" w:hAnsi="Calibri" w:cs="Calibri"/>
          <w:b/>
          <w:spacing w:val="-2"/>
          <w:position w:val="1"/>
          <w:sz w:val="40"/>
          <w:szCs w:val="40"/>
        </w:rPr>
        <w:t>h</w:t>
      </w:r>
      <w:r>
        <w:rPr>
          <w:rFonts w:ascii="Calibri" w:eastAsia="Calibri" w:hAnsi="Calibri" w:cs="Calibri"/>
          <w:b/>
          <w:position w:val="1"/>
          <w:sz w:val="40"/>
          <w:szCs w:val="40"/>
        </w:rPr>
        <w:t>ole He</w:t>
      </w:r>
      <w:r>
        <w:rPr>
          <w:rFonts w:ascii="Calibri" w:eastAsia="Calibri" w:hAnsi="Calibri" w:cs="Calibri"/>
          <w:b/>
          <w:spacing w:val="-1"/>
          <w:position w:val="1"/>
          <w:sz w:val="40"/>
          <w:szCs w:val="40"/>
        </w:rPr>
        <w:t>a</w:t>
      </w:r>
      <w:r>
        <w:rPr>
          <w:rFonts w:ascii="Calibri" w:eastAsia="Calibri" w:hAnsi="Calibri" w:cs="Calibri"/>
          <w:b/>
          <w:position w:val="1"/>
          <w:sz w:val="40"/>
          <w:szCs w:val="40"/>
        </w:rPr>
        <w:t>lth</w:t>
      </w:r>
      <w:r>
        <w:rPr>
          <w:rFonts w:ascii="Calibri" w:eastAsia="Calibri" w:hAnsi="Calibri" w:cs="Calibri"/>
          <w:b/>
          <w:spacing w:val="-1"/>
          <w:position w:val="1"/>
          <w:sz w:val="40"/>
          <w:szCs w:val="40"/>
        </w:rPr>
        <w:t xml:space="preserve"> </w:t>
      </w:r>
      <w:r>
        <w:rPr>
          <w:rFonts w:ascii="Calibri" w:eastAsia="Calibri" w:hAnsi="Calibri" w:cs="Calibri"/>
          <w:b/>
          <w:position w:val="1"/>
          <w:sz w:val="40"/>
          <w:szCs w:val="40"/>
        </w:rPr>
        <w:t>Assessment 2.0</w:t>
      </w:r>
      <w:r>
        <w:rPr>
          <w:rFonts w:ascii="Calibri" w:eastAsia="Calibri" w:hAnsi="Calibri" w:cs="Calibri"/>
          <w:b/>
          <w:spacing w:val="5"/>
          <w:position w:val="1"/>
          <w:sz w:val="40"/>
          <w:szCs w:val="40"/>
        </w:rPr>
        <w:t xml:space="preserve"> </w:t>
      </w:r>
      <w:r>
        <w:rPr>
          <w:rFonts w:ascii="Calibri" w:eastAsia="Calibri" w:hAnsi="Calibri" w:cs="Calibri"/>
          <w:b/>
          <w:position w:val="1"/>
          <w:sz w:val="40"/>
          <w:szCs w:val="40"/>
        </w:rPr>
        <w:t>CM</w:t>
      </w:r>
      <w:r>
        <w:rPr>
          <w:rFonts w:ascii="Calibri" w:eastAsia="Calibri" w:hAnsi="Calibri" w:cs="Calibri"/>
          <w:b/>
          <w:spacing w:val="-4"/>
          <w:position w:val="1"/>
          <w:sz w:val="40"/>
          <w:szCs w:val="40"/>
        </w:rPr>
        <w:t>E</w:t>
      </w:r>
      <w:r>
        <w:rPr>
          <w:rFonts w:ascii="Calibri" w:eastAsia="Calibri" w:hAnsi="Calibri" w:cs="Calibri"/>
          <w:b/>
          <w:position w:val="1"/>
          <w:sz w:val="40"/>
          <w:szCs w:val="40"/>
        </w:rPr>
        <w:t>/CNE</w:t>
      </w:r>
    </w:p>
    <w:p w14:paraId="6B1CD5B7" w14:textId="77777777" w:rsidR="00DC3A0A" w:rsidRDefault="00DC3A0A">
      <w:pPr>
        <w:spacing w:before="1" w:line="200" w:lineRule="exact"/>
      </w:pPr>
    </w:p>
    <w:p w14:paraId="4C3FB6C1" w14:textId="77777777" w:rsidR="00DC3A0A" w:rsidRDefault="004374F5">
      <w:pPr>
        <w:ind w:left="5230" w:right="5168"/>
        <w:jc w:val="center"/>
        <w:rPr>
          <w:rFonts w:ascii="Calibri" w:eastAsia="Calibri" w:hAnsi="Calibri" w:cs="Calibri"/>
          <w:sz w:val="40"/>
          <w:szCs w:val="40"/>
        </w:rPr>
      </w:pPr>
      <w:r>
        <w:rPr>
          <w:rFonts w:ascii="Calibri" w:eastAsia="Calibri" w:hAnsi="Calibri" w:cs="Calibri"/>
          <w:b/>
          <w:sz w:val="40"/>
          <w:szCs w:val="40"/>
        </w:rPr>
        <w:t>Supple</w:t>
      </w:r>
      <w:r>
        <w:rPr>
          <w:rFonts w:ascii="Calibri" w:eastAsia="Calibri" w:hAnsi="Calibri" w:cs="Calibri"/>
          <w:b/>
          <w:spacing w:val="-2"/>
          <w:sz w:val="40"/>
          <w:szCs w:val="40"/>
        </w:rPr>
        <w:t>m</w:t>
      </w:r>
      <w:r>
        <w:rPr>
          <w:rFonts w:ascii="Calibri" w:eastAsia="Calibri" w:hAnsi="Calibri" w:cs="Calibri"/>
          <w:b/>
          <w:sz w:val="40"/>
          <w:szCs w:val="40"/>
        </w:rPr>
        <w:t>ental</w:t>
      </w:r>
      <w:r>
        <w:rPr>
          <w:rFonts w:ascii="Calibri" w:eastAsia="Calibri" w:hAnsi="Calibri" w:cs="Calibri"/>
          <w:b/>
          <w:spacing w:val="-2"/>
          <w:sz w:val="40"/>
          <w:szCs w:val="40"/>
        </w:rPr>
        <w:t xml:space="preserve"> </w:t>
      </w:r>
      <w:r>
        <w:rPr>
          <w:rFonts w:ascii="Calibri" w:eastAsia="Calibri" w:hAnsi="Calibri" w:cs="Calibri"/>
          <w:b/>
          <w:sz w:val="40"/>
          <w:szCs w:val="40"/>
        </w:rPr>
        <w:t>Re</w:t>
      </w:r>
      <w:r>
        <w:rPr>
          <w:rFonts w:ascii="Calibri" w:eastAsia="Calibri" w:hAnsi="Calibri" w:cs="Calibri"/>
          <w:b/>
          <w:spacing w:val="-1"/>
          <w:sz w:val="40"/>
          <w:szCs w:val="40"/>
        </w:rPr>
        <w:t>a</w:t>
      </w:r>
      <w:r>
        <w:rPr>
          <w:rFonts w:ascii="Calibri" w:eastAsia="Calibri" w:hAnsi="Calibri" w:cs="Calibri"/>
          <w:b/>
          <w:sz w:val="40"/>
          <w:szCs w:val="40"/>
        </w:rPr>
        <w:t>di</w:t>
      </w:r>
      <w:r>
        <w:rPr>
          <w:rFonts w:ascii="Calibri" w:eastAsia="Calibri" w:hAnsi="Calibri" w:cs="Calibri"/>
          <w:b/>
          <w:spacing w:val="1"/>
          <w:sz w:val="40"/>
          <w:szCs w:val="40"/>
        </w:rPr>
        <w:t>n</w:t>
      </w:r>
      <w:r>
        <w:rPr>
          <w:rFonts w:ascii="Calibri" w:eastAsia="Calibri" w:hAnsi="Calibri" w:cs="Calibri"/>
          <w:b/>
          <w:sz w:val="40"/>
          <w:szCs w:val="40"/>
        </w:rPr>
        <w:t>g</w:t>
      </w:r>
    </w:p>
    <w:p w14:paraId="4352EBE5" w14:textId="77777777" w:rsidR="00DC3A0A" w:rsidRDefault="00DC3A0A">
      <w:pPr>
        <w:spacing w:before="7" w:line="180" w:lineRule="exact"/>
        <w:rPr>
          <w:sz w:val="19"/>
          <w:szCs w:val="19"/>
        </w:rPr>
      </w:pPr>
    </w:p>
    <w:p w14:paraId="5F308B9A" w14:textId="77777777" w:rsidR="00DC3A0A" w:rsidRPr="00EB17C6" w:rsidRDefault="004374F5">
      <w:pPr>
        <w:ind w:left="100"/>
        <w:rPr>
          <w:rFonts w:asciiTheme="minorHAnsi" w:eastAsia="Calibri" w:hAnsiTheme="minorHAnsi" w:cs="Calibri"/>
          <w:sz w:val="24"/>
          <w:szCs w:val="24"/>
        </w:rPr>
      </w:pPr>
      <w:r w:rsidRPr="00EB17C6">
        <w:rPr>
          <w:rFonts w:asciiTheme="minorHAnsi" w:eastAsia="Calibri" w:hAnsiTheme="minorHAnsi" w:cs="Calibri"/>
          <w:b/>
          <w:spacing w:val="-1"/>
          <w:sz w:val="24"/>
          <w:szCs w:val="24"/>
          <w:u w:val="single" w:color="000000"/>
        </w:rPr>
        <w:t>Re</w:t>
      </w:r>
      <w:r w:rsidRPr="00EB17C6">
        <w:rPr>
          <w:rFonts w:asciiTheme="minorHAnsi" w:eastAsia="Calibri" w:hAnsiTheme="minorHAnsi" w:cs="Calibri"/>
          <w:b/>
          <w:sz w:val="24"/>
          <w:szCs w:val="24"/>
          <w:u w:val="single" w:color="000000"/>
        </w:rPr>
        <w:t>se</w:t>
      </w:r>
      <w:r w:rsidRPr="00EB17C6">
        <w:rPr>
          <w:rFonts w:asciiTheme="minorHAnsi" w:eastAsia="Calibri" w:hAnsiTheme="minorHAnsi" w:cs="Calibri"/>
          <w:b/>
          <w:spacing w:val="-1"/>
          <w:sz w:val="24"/>
          <w:szCs w:val="24"/>
          <w:u w:val="single" w:color="000000"/>
        </w:rPr>
        <w:t>a</w:t>
      </w:r>
      <w:r w:rsidRPr="00EB17C6">
        <w:rPr>
          <w:rFonts w:asciiTheme="minorHAnsi" w:eastAsia="Calibri" w:hAnsiTheme="minorHAnsi" w:cs="Calibri"/>
          <w:b/>
          <w:spacing w:val="1"/>
          <w:sz w:val="24"/>
          <w:szCs w:val="24"/>
          <w:u w:val="single" w:color="000000"/>
        </w:rPr>
        <w:t>r</w:t>
      </w:r>
      <w:r w:rsidRPr="00EB17C6">
        <w:rPr>
          <w:rFonts w:asciiTheme="minorHAnsi" w:eastAsia="Calibri" w:hAnsiTheme="minorHAnsi" w:cs="Calibri"/>
          <w:b/>
          <w:sz w:val="24"/>
          <w:szCs w:val="24"/>
          <w:u w:val="single" w:color="000000"/>
        </w:rPr>
        <w:t>ch</w:t>
      </w:r>
      <w:r w:rsidRPr="00EB17C6">
        <w:rPr>
          <w:rFonts w:asciiTheme="minorHAnsi" w:eastAsia="Calibri" w:hAnsiTheme="minorHAnsi" w:cs="Calibri"/>
          <w:b/>
          <w:spacing w:val="2"/>
          <w:sz w:val="24"/>
          <w:szCs w:val="24"/>
          <w:u w:val="single" w:color="000000"/>
        </w:rPr>
        <w:t xml:space="preserve"> </w:t>
      </w:r>
      <w:r w:rsidRPr="00EB17C6">
        <w:rPr>
          <w:rFonts w:asciiTheme="minorHAnsi" w:eastAsia="Calibri" w:hAnsiTheme="minorHAnsi" w:cs="Calibri"/>
          <w:b/>
          <w:spacing w:val="1"/>
          <w:sz w:val="24"/>
          <w:szCs w:val="24"/>
          <w:u w:val="single" w:color="000000"/>
        </w:rPr>
        <w:t>Ar</w:t>
      </w:r>
      <w:r w:rsidRPr="00EB17C6">
        <w:rPr>
          <w:rFonts w:asciiTheme="minorHAnsi" w:eastAsia="Calibri" w:hAnsiTheme="minorHAnsi" w:cs="Calibri"/>
          <w:b/>
          <w:spacing w:val="-2"/>
          <w:sz w:val="24"/>
          <w:szCs w:val="24"/>
          <w:u w:val="single" w:color="000000"/>
        </w:rPr>
        <w:t>t</w:t>
      </w:r>
      <w:r w:rsidRPr="00EB17C6">
        <w:rPr>
          <w:rFonts w:asciiTheme="minorHAnsi" w:eastAsia="Calibri" w:hAnsiTheme="minorHAnsi" w:cs="Calibri"/>
          <w:b/>
          <w:spacing w:val="1"/>
          <w:sz w:val="24"/>
          <w:szCs w:val="24"/>
          <w:u w:val="single" w:color="000000"/>
        </w:rPr>
        <w:t>i</w:t>
      </w:r>
      <w:r w:rsidRPr="00EB17C6">
        <w:rPr>
          <w:rFonts w:asciiTheme="minorHAnsi" w:eastAsia="Calibri" w:hAnsiTheme="minorHAnsi" w:cs="Calibri"/>
          <w:b/>
          <w:sz w:val="24"/>
          <w:szCs w:val="24"/>
          <w:u w:val="single" w:color="000000"/>
        </w:rPr>
        <w:t>c</w:t>
      </w:r>
      <w:r w:rsidRPr="00EB17C6">
        <w:rPr>
          <w:rFonts w:asciiTheme="minorHAnsi" w:eastAsia="Calibri" w:hAnsiTheme="minorHAnsi" w:cs="Calibri"/>
          <w:b/>
          <w:spacing w:val="1"/>
          <w:sz w:val="24"/>
          <w:szCs w:val="24"/>
          <w:u w:val="single" w:color="000000"/>
        </w:rPr>
        <w:t>l</w:t>
      </w:r>
      <w:r w:rsidRPr="00EB17C6">
        <w:rPr>
          <w:rFonts w:asciiTheme="minorHAnsi" w:eastAsia="Calibri" w:hAnsiTheme="minorHAnsi" w:cs="Calibri"/>
          <w:b/>
          <w:spacing w:val="-1"/>
          <w:sz w:val="24"/>
          <w:szCs w:val="24"/>
          <w:u w:val="single" w:color="000000"/>
        </w:rPr>
        <w:t>e</w:t>
      </w:r>
      <w:r w:rsidRPr="00EB17C6">
        <w:rPr>
          <w:rFonts w:asciiTheme="minorHAnsi" w:eastAsia="Calibri" w:hAnsiTheme="minorHAnsi" w:cs="Calibri"/>
          <w:b/>
          <w:sz w:val="24"/>
          <w:szCs w:val="24"/>
          <w:u w:val="single" w:color="000000"/>
        </w:rPr>
        <w:t>s</w:t>
      </w:r>
    </w:p>
    <w:p w14:paraId="646883DC" w14:textId="77777777" w:rsidR="00DC3A0A" w:rsidRPr="00EB17C6" w:rsidRDefault="00DC3A0A">
      <w:pPr>
        <w:spacing w:before="3" w:line="180" w:lineRule="exact"/>
        <w:rPr>
          <w:rFonts w:asciiTheme="minorHAnsi" w:hAnsiTheme="minorHAnsi"/>
          <w:sz w:val="24"/>
          <w:szCs w:val="24"/>
        </w:rPr>
      </w:pPr>
    </w:p>
    <w:p w14:paraId="189784DD" w14:textId="77777777" w:rsidR="002335D9" w:rsidRPr="00EB17C6" w:rsidRDefault="007170FF" w:rsidP="002335D9">
      <w:pPr>
        <w:pStyle w:val="ListParagraph"/>
        <w:numPr>
          <w:ilvl w:val="0"/>
          <w:numId w:val="2"/>
        </w:numPr>
        <w:ind w:right="238"/>
        <w:rPr>
          <w:rFonts w:asciiTheme="minorHAnsi" w:eastAsia="Calibri" w:hAnsiTheme="minorHAnsi" w:cs="Calibri"/>
          <w:spacing w:val="-1"/>
          <w:sz w:val="24"/>
          <w:szCs w:val="24"/>
        </w:rPr>
      </w:pPr>
      <w:r w:rsidRPr="00EB17C6">
        <w:rPr>
          <w:rFonts w:asciiTheme="minorHAnsi" w:eastAsia="Calibri" w:hAnsiTheme="minorHAnsi" w:cs="Calibri"/>
          <w:spacing w:val="-1"/>
          <w:sz w:val="24"/>
          <w:szCs w:val="24"/>
        </w:rPr>
        <w:t>Mizell, C. A. (1999). African American men's personal sense of mastery: The consequences of the adolescent environment, self-</w:t>
      </w:r>
      <w:r w:rsidR="002335D9" w:rsidRPr="00EB17C6">
        <w:rPr>
          <w:rFonts w:asciiTheme="minorHAnsi" w:eastAsia="Calibri" w:hAnsiTheme="minorHAnsi" w:cs="Calibri"/>
          <w:spacing w:val="-1"/>
          <w:sz w:val="24"/>
          <w:szCs w:val="24"/>
        </w:rPr>
        <w:t>concept,</w:t>
      </w:r>
    </w:p>
    <w:p w14:paraId="07D0C205" w14:textId="77777777" w:rsidR="007170FF" w:rsidRPr="00EB17C6" w:rsidRDefault="007170FF" w:rsidP="002335D9">
      <w:pPr>
        <w:pStyle w:val="ListParagraph"/>
        <w:ind w:left="778" w:right="238"/>
        <w:rPr>
          <w:rFonts w:asciiTheme="minorHAnsi" w:eastAsia="Calibri" w:hAnsiTheme="minorHAnsi" w:cs="Calibri"/>
          <w:spacing w:val="-1"/>
          <w:sz w:val="24"/>
          <w:szCs w:val="24"/>
        </w:rPr>
      </w:pPr>
      <w:r w:rsidRPr="00EB17C6">
        <w:rPr>
          <w:rFonts w:asciiTheme="minorHAnsi" w:eastAsia="Calibri" w:hAnsiTheme="minorHAnsi" w:cs="Calibri"/>
          <w:spacing w:val="-1"/>
          <w:sz w:val="24"/>
          <w:szCs w:val="24"/>
        </w:rPr>
        <w:t>and adult achievement. </w:t>
      </w:r>
      <w:r w:rsidRPr="00EB17C6">
        <w:rPr>
          <w:rFonts w:asciiTheme="minorHAnsi" w:eastAsia="Calibri" w:hAnsiTheme="minorHAnsi" w:cs="Calibri"/>
          <w:i/>
          <w:iCs/>
          <w:spacing w:val="-1"/>
          <w:sz w:val="24"/>
          <w:szCs w:val="24"/>
        </w:rPr>
        <w:t>Journal of Black Psychology, 25</w:t>
      </w:r>
      <w:r w:rsidRPr="00EB17C6">
        <w:rPr>
          <w:rFonts w:asciiTheme="minorHAnsi" w:eastAsia="Calibri" w:hAnsiTheme="minorHAnsi" w:cs="Calibri"/>
          <w:spacing w:val="-1"/>
          <w:sz w:val="24"/>
          <w:szCs w:val="24"/>
        </w:rPr>
        <w:t>(2), 210-230.</w:t>
      </w:r>
    </w:p>
    <w:p w14:paraId="6EAFE1FA" w14:textId="77777777" w:rsidR="00DC3A0A" w:rsidRPr="00EB17C6" w:rsidRDefault="007B2C8D" w:rsidP="000F57C1">
      <w:pPr>
        <w:ind w:left="476" w:right="238" w:firstLine="302"/>
        <w:rPr>
          <w:rFonts w:asciiTheme="minorHAnsi" w:eastAsia="Calibri" w:hAnsiTheme="minorHAnsi" w:cs="Calibri"/>
          <w:sz w:val="24"/>
          <w:szCs w:val="24"/>
        </w:rPr>
      </w:pPr>
      <w:r w:rsidRPr="00EB17C6">
        <w:rPr>
          <w:rFonts w:asciiTheme="minorHAnsi" w:eastAsia="Calibri" w:hAnsiTheme="minorHAnsi" w:cs="Calibri"/>
          <w:spacing w:val="-1"/>
          <w:sz w:val="24"/>
          <w:szCs w:val="24"/>
        </w:rPr>
        <w:t xml:space="preserve">DOI: </w:t>
      </w:r>
      <w:hyperlink r:id="rId9" w:tgtFrame="_blank" w:history="1">
        <w:r w:rsidR="007170FF" w:rsidRPr="00EB17C6">
          <w:rPr>
            <w:rStyle w:val="Hyperlink"/>
            <w:rFonts w:asciiTheme="minorHAnsi" w:eastAsia="Calibri" w:hAnsiTheme="minorHAnsi" w:cs="Calibri"/>
            <w:color w:val="auto"/>
            <w:spacing w:val="-1"/>
            <w:sz w:val="24"/>
            <w:szCs w:val="24"/>
            <w:u w:val="none"/>
          </w:rPr>
          <w:t>http://dx.doi.org/10.1177/0095798499025002005</w:t>
        </w:r>
      </w:hyperlink>
    </w:p>
    <w:p w14:paraId="6C7D1B72" w14:textId="77777777" w:rsidR="00DC3A0A" w:rsidRPr="00EB17C6" w:rsidRDefault="004374F5" w:rsidP="00EB17C6">
      <w:pPr>
        <w:tabs>
          <w:tab w:val="left" w:pos="1540"/>
        </w:tabs>
        <w:spacing w:before="25" w:line="258" w:lineRule="auto"/>
        <w:ind w:left="1540" w:right="151" w:hanging="360"/>
        <w:jc w:val="both"/>
        <w:rPr>
          <w:rFonts w:asciiTheme="minorHAnsi" w:eastAsia="Calibri" w:hAnsiTheme="minorHAnsi" w:cs="Calibri"/>
          <w:sz w:val="24"/>
          <w:szCs w:val="24"/>
        </w:rPr>
      </w:pPr>
      <w:r w:rsidRPr="00EB17C6">
        <w:rPr>
          <w:rFonts w:asciiTheme="minorHAnsi" w:hAnsiTheme="minorHAnsi"/>
          <w:sz w:val="24"/>
          <w:szCs w:val="24"/>
        </w:rPr>
        <w:tab/>
      </w:r>
      <w:r w:rsidR="002335D9" w:rsidRPr="00EB17C6">
        <w:rPr>
          <w:rFonts w:asciiTheme="minorHAnsi" w:eastAsia="Calibri" w:hAnsiTheme="minorHAnsi" w:cs="Calibri"/>
          <w:sz w:val="24"/>
          <w:szCs w:val="24"/>
        </w:rPr>
        <w:t xml:space="preserve">Using data from the National Longitudinal Survey of Youth, collected annually from 1979–1992, the objective of this study was to examine which factors over the life course contribute to African American males' personal sense of mastery. For the analysis on adult mastery, Ss were 892 African American males (aged 14–18 </w:t>
      </w:r>
      <w:proofErr w:type="spellStart"/>
      <w:r w:rsidR="002335D9" w:rsidRPr="00EB17C6">
        <w:rPr>
          <w:rFonts w:asciiTheme="minorHAnsi" w:eastAsia="Calibri" w:hAnsiTheme="minorHAnsi" w:cs="Calibri"/>
          <w:sz w:val="24"/>
          <w:szCs w:val="24"/>
        </w:rPr>
        <w:t>yrs</w:t>
      </w:r>
      <w:proofErr w:type="spellEnd"/>
      <w:r w:rsidR="002335D9" w:rsidRPr="00EB17C6">
        <w:rPr>
          <w:rFonts w:asciiTheme="minorHAnsi" w:eastAsia="Calibri" w:hAnsiTheme="minorHAnsi" w:cs="Calibri"/>
          <w:sz w:val="24"/>
          <w:szCs w:val="24"/>
        </w:rPr>
        <w:t xml:space="preserve"> in 1979 and 27–31 </w:t>
      </w:r>
      <w:proofErr w:type="spellStart"/>
      <w:r w:rsidR="002335D9" w:rsidRPr="00EB17C6">
        <w:rPr>
          <w:rFonts w:asciiTheme="minorHAnsi" w:eastAsia="Calibri" w:hAnsiTheme="minorHAnsi" w:cs="Calibri"/>
          <w:sz w:val="24"/>
          <w:szCs w:val="24"/>
        </w:rPr>
        <w:t>yrs</w:t>
      </w:r>
      <w:proofErr w:type="spellEnd"/>
      <w:r w:rsidR="002335D9" w:rsidRPr="00EB17C6">
        <w:rPr>
          <w:rFonts w:asciiTheme="minorHAnsi" w:eastAsia="Calibri" w:hAnsiTheme="minorHAnsi" w:cs="Calibri"/>
          <w:sz w:val="24"/>
          <w:szCs w:val="24"/>
        </w:rPr>
        <w:t xml:space="preserve"> in 1992). The </w:t>
      </w:r>
      <w:proofErr w:type="spellStart"/>
      <w:r w:rsidR="002335D9" w:rsidRPr="00EB17C6">
        <w:rPr>
          <w:rFonts w:asciiTheme="minorHAnsi" w:eastAsia="Calibri" w:hAnsiTheme="minorHAnsi" w:cs="Calibri"/>
          <w:sz w:val="24"/>
          <w:szCs w:val="24"/>
        </w:rPr>
        <w:t>Pearlin</w:t>
      </w:r>
      <w:proofErr w:type="spellEnd"/>
      <w:r w:rsidR="002335D9" w:rsidRPr="00EB17C6">
        <w:rPr>
          <w:rFonts w:asciiTheme="minorHAnsi" w:eastAsia="Calibri" w:hAnsiTheme="minorHAnsi" w:cs="Calibri"/>
          <w:sz w:val="24"/>
          <w:szCs w:val="24"/>
        </w:rPr>
        <w:t xml:space="preserve"> Mastery Scale was employed for the analysis. Independent variables were divided into adolescent background (poverty, parental education, religious attendance, region of origin), adolescent self-concept (self-esteem, educational aspirations), and adult achievement (educational attainment, earnings). Although adolescent poverty does not appear to hamper the adult mastery of African American men, results show that consequential adolescent variables are parental educational attainment, region of origin, self-esteem, and educational aspirations. The analysis also suggests that current adult achievement is also a significant determinant of adult mastery in African American males. Findings indicate that, despite the absence of economic and interpersonal resources in adolescence, African American males may be able to compensate for such deprivation through individual achievement—which directly affects personal mastery</w:t>
      </w:r>
      <w:r w:rsidRPr="00EB17C6">
        <w:rPr>
          <w:rFonts w:asciiTheme="minorHAnsi" w:eastAsia="Calibri" w:hAnsiTheme="minorHAnsi" w:cs="Calibri"/>
          <w:sz w:val="24"/>
          <w:szCs w:val="24"/>
        </w:rPr>
        <w:t>.</w:t>
      </w:r>
    </w:p>
    <w:p w14:paraId="1692C659" w14:textId="3FD51B01" w:rsidR="00DC3A0A" w:rsidRPr="00EB17C6" w:rsidRDefault="00CA5C00" w:rsidP="000F57C1">
      <w:pPr>
        <w:pStyle w:val="ListParagraph"/>
        <w:numPr>
          <w:ilvl w:val="0"/>
          <w:numId w:val="2"/>
        </w:numPr>
        <w:spacing w:before="2" w:line="259" w:lineRule="auto"/>
        <w:ind w:right="434"/>
        <w:rPr>
          <w:rFonts w:asciiTheme="minorHAnsi" w:eastAsia="Calibri" w:hAnsiTheme="minorHAnsi" w:cs="Calibri"/>
          <w:sz w:val="24"/>
          <w:szCs w:val="24"/>
        </w:rPr>
      </w:pPr>
      <w:r>
        <w:rPr>
          <w:rFonts w:asciiTheme="minorHAnsi" w:eastAsia="Calibri" w:hAnsiTheme="minorHAnsi" w:cs="Calibri"/>
          <w:sz w:val="24"/>
          <w:szCs w:val="24"/>
        </w:rPr>
        <w:t>Siu, Albert,</w:t>
      </w:r>
      <w:r w:rsidR="00B23812" w:rsidRPr="00EB17C6">
        <w:rPr>
          <w:rFonts w:asciiTheme="minorHAnsi" w:eastAsia="Calibri" w:hAnsiTheme="minorHAnsi" w:cs="Calibri"/>
          <w:sz w:val="24"/>
          <w:szCs w:val="24"/>
        </w:rPr>
        <w:t xml:space="preserve"> L. (2016). </w:t>
      </w:r>
      <w:r w:rsidR="002335D9" w:rsidRPr="00EB17C6">
        <w:rPr>
          <w:rFonts w:asciiTheme="minorHAnsi" w:eastAsia="Calibri" w:hAnsiTheme="minorHAnsi" w:cs="Calibri"/>
          <w:sz w:val="24"/>
          <w:szCs w:val="24"/>
        </w:rPr>
        <w:t xml:space="preserve"> Screening for Depression in Adults</w:t>
      </w:r>
      <w:r w:rsidR="00B23812" w:rsidRPr="00EB17C6">
        <w:rPr>
          <w:rFonts w:asciiTheme="minorHAnsi" w:eastAsia="Calibri" w:hAnsiTheme="minorHAnsi" w:cs="Calibri"/>
          <w:sz w:val="24"/>
          <w:szCs w:val="24"/>
        </w:rPr>
        <w:t xml:space="preserve"> </w:t>
      </w:r>
      <w:r w:rsidR="002335D9" w:rsidRPr="00EB17C6">
        <w:rPr>
          <w:rFonts w:asciiTheme="minorHAnsi" w:eastAsia="Calibri" w:hAnsiTheme="minorHAnsi" w:cs="Calibri"/>
          <w:sz w:val="24"/>
          <w:szCs w:val="24"/>
        </w:rPr>
        <w:t>US Preventive Services Task Force Re</w:t>
      </w:r>
      <w:r w:rsidR="00B23812" w:rsidRPr="00EB17C6">
        <w:rPr>
          <w:rFonts w:asciiTheme="minorHAnsi" w:eastAsia="Calibri" w:hAnsiTheme="minorHAnsi" w:cs="Calibri"/>
          <w:sz w:val="24"/>
          <w:szCs w:val="24"/>
        </w:rPr>
        <w:t xml:space="preserve">commendation </w:t>
      </w:r>
      <w:r w:rsidR="002335D9" w:rsidRPr="00EB17C6">
        <w:rPr>
          <w:rFonts w:asciiTheme="minorHAnsi" w:eastAsia="Calibri" w:hAnsiTheme="minorHAnsi" w:cs="Calibri"/>
          <w:sz w:val="24"/>
          <w:szCs w:val="24"/>
        </w:rPr>
        <w:t>Statement. </w:t>
      </w:r>
      <w:r w:rsidR="002335D9" w:rsidRPr="00EB17C6">
        <w:rPr>
          <w:rFonts w:asciiTheme="minorHAnsi" w:eastAsia="Calibri" w:hAnsiTheme="minorHAnsi" w:cs="Calibri"/>
          <w:i/>
          <w:iCs/>
          <w:sz w:val="24"/>
          <w:szCs w:val="24"/>
        </w:rPr>
        <w:t>JAMA.</w:t>
      </w:r>
      <w:r w:rsidR="00B23812" w:rsidRPr="00EB17C6">
        <w:rPr>
          <w:rFonts w:asciiTheme="minorHAnsi" w:eastAsia="Calibri" w:hAnsiTheme="minorHAnsi" w:cs="Calibri"/>
          <w:sz w:val="24"/>
          <w:szCs w:val="24"/>
        </w:rPr>
        <w:t xml:space="preserve"> </w:t>
      </w:r>
      <w:r w:rsidR="002335D9" w:rsidRPr="00EB17C6">
        <w:rPr>
          <w:rFonts w:asciiTheme="minorHAnsi" w:eastAsia="Calibri" w:hAnsiTheme="minorHAnsi" w:cs="Calibri"/>
          <w:i/>
          <w:sz w:val="24"/>
          <w:szCs w:val="24"/>
        </w:rPr>
        <w:t>315</w:t>
      </w:r>
      <w:r w:rsidR="00B23812" w:rsidRPr="00EB17C6">
        <w:rPr>
          <w:rFonts w:asciiTheme="minorHAnsi" w:eastAsia="Calibri" w:hAnsiTheme="minorHAnsi" w:cs="Calibri"/>
          <w:sz w:val="24"/>
          <w:szCs w:val="24"/>
        </w:rPr>
        <w:t xml:space="preserve">(4), </w:t>
      </w:r>
      <w:r w:rsidR="007B2C8D" w:rsidRPr="00EB17C6">
        <w:rPr>
          <w:rFonts w:asciiTheme="minorHAnsi" w:eastAsia="Calibri" w:hAnsiTheme="minorHAnsi" w:cs="Calibri"/>
          <w:sz w:val="24"/>
          <w:szCs w:val="24"/>
        </w:rPr>
        <w:t>380–387. DOI</w:t>
      </w:r>
      <w:r w:rsidR="002335D9" w:rsidRPr="00EB17C6">
        <w:rPr>
          <w:rFonts w:asciiTheme="minorHAnsi" w:eastAsia="Calibri" w:hAnsiTheme="minorHAnsi" w:cs="Calibri"/>
          <w:sz w:val="24"/>
          <w:szCs w:val="24"/>
        </w:rPr>
        <w:t>:10.1001/jama.2015.18392</w:t>
      </w:r>
    </w:p>
    <w:p w14:paraId="17D00765" w14:textId="77777777" w:rsidR="000F57C1" w:rsidRPr="00EB17C6" w:rsidRDefault="004374F5" w:rsidP="00EB17C6">
      <w:pPr>
        <w:tabs>
          <w:tab w:val="left" w:pos="1540"/>
        </w:tabs>
        <w:spacing w:before="1" w:line="258" w:lineRule="auto"/>
        <w:ind w:left="1540" w:right="258" w:hanging="360"/>
        <w:jc w:val="both"/>
        <w:rPr>
          <w:rFonts w:asciiTheme="minorHAnsi" w:eastAsia="Calibri" w:hAnsiTheme="minorHAnsi" w:cs="Calibri"/>
          <w:sz w:val="24"/>
          <w:szCs w:val="24"/>
        </w:rPr>
      </w:pPr>
      <w:r w:rsidRPr="00EB17C6">
        <w:rPr>
          <w:rFonts w:asciiTheme="minorHAnsi" w:hAnsiTheme="minorHAnsi"/>
          <w:sz w:val="24"/>
          <w:szCs w:val="24"/>
        </w:rPr>
        <w:tab/>
      </w:r>
      <w:r w:rsidR="002335D9" w:rsidRPr="00EB17C6">
        <w:rPr>
          <w:rFonts w:asciiTheme="minorHAnsi" w:hAnsiTheme="minorHAnsi" w:cstheme="minorHAnsi"/>
          <w:sz w:val="24"/>
          <w:szCs w:val="24"/>
        </w:rPr>
        <w:t xml:space="preserve">This is an </w:t>
      </w:r>
      <w:r w:rsidR="002335D9" w:rsidRPr="00EB17C6">
        <w:rPr>
          <w:rFonts w:asciiTheme="minorHAnsi" w:eastAsia="Calibri" w:hAnsiTheme="minorHAnsi" w:cstheme="minorHAnsi"/>
          <w:sz w:val="24"/>
          <w:szCs w:val="24"/>
        </w:rPr>
        <w:t>update of the 2009 US Preventive Services Task Force (USPSTF) recommendation on screening for depression in adults. The USPSTF</w:t>
      </w:r>
      <w:r w:rsidR="002335D9" w:rsidRPr="00EB17C6">
        <w:rPr>
          <w:rFonts w:asciiTheme="minorHAnsi" w:eastAsia="Calibri" w:hAnsiTheme="minorHAnsi" w:cs="Calibri"/>
          <w:sz w:val="24"/>
          <w:szCs w:val="24"/>
        </w:rPr>
        <w:t xml:space="preserve"> reviewed the evidence on the benefits and harms of screening for depression in adult populations, including older adults and pregnant and postpartum women; the accuracy of depression screening instruments; and the benefits and harms of depression treatment in these populations. This recommendation applies to adults 18 years and older.</w:t>
      </w:r>
    </w:p>
    <w:p w14:paraId="22B876F9" w14:textId="4C1AA8FF" w:rsidR="00B23812" w:rsidRPr="00EB17C6" w:rsidRDefault="002335D9" w:rsidP="000F57C1">
      <w:pPr>
        <w:pStyle w:val="ListParagraph"/>
        <w:numPr>
          <w:ilvl w:val="0"/>
          <w:numId w:val="2"/>
        </w:numPr>
        <w:tabs>
          <w:tab w:val="left" w:pos="1540"/>
        </w:tabs>
        <w:spacing w:before="1" w:line="258" w:lineRule="auto"/>
        <w:ind w:right="258"/>
        <w:rPr>
          <w:rFonts w:asciiTheme="minorHAnsi" w:eastAsia="Calibri" w:hAnsiTheme="minorHAnsi" w:cs="Calibri"/>
          <w:sz w:val="24"/>
          <w:szCs w:val="24"/>
        </w:rPr>
      </w:pPr>
      <w:r w:rsidRPr="00EB17C6">
        <w:rPr>
          <w:rFonts w:asciiTheme="minorHAnsi" w:eastAsia="Calibri" w:hAnsiTheme="minorHAnsi" w:cs="Calibri"/>
          <w:spacing w:val="-1"/>
          <w:sz w:val="24"/>
          <w:szCs w:val="24"/>
        </w:rPr>
        <w:t>Kroenke K</w:t>
      </w:r>
      <w:r w:rsidR="00CA5C00">
        <w:rPr>
          <w:rFonts w:asciiTheme="minorHAnsi" w:eastAsia="Calibri" w:hAnsiTheme="minorHAnsi" w:cs="Calibri"/>
          <w:spacing w:val="-1"/>
          <w:sz w:val="24"/>
          <w:szCs w:val="24"/>
        </w:rPr>
        <w:t>.</w:t>
      </w:r>
      <w:r w:rsidRPr="00EB17C6">
        <w:rPr>
          <w:rFonts w:asciiTheme="minorHAnsi" w:eastAsia="Calibri" w:hAnsiTheme="minorHAnsi" w:cs="Calibri"/>
          <w:spacing w:val="-1"/>
          <w:sz w:val="24"/>
          <w:szCs w:val="24"/>
        </w:rPr>
        <w:t>, Spitzer R</w:t>
      </w:r>
      <w:r w:rsidR="00CA5C00">
        <w:rPr>
          <w:rFonts w:asciiTheme="minorHAnsi" w:eastAsia="Calibri" w:hAnsiTheme="minorHAnsi" w:cs="Calibri"/>
          <w:spacing w:val="-1"/>
          <w:sz w:val="24"/>
          <w:szCs w:val="24"/>
        </w:rPr>
        <w:t>.</w:t>
      </w:r>
      <w:r w:rsidRPr="00EB17C6">
        <w:rPr>
          <w:rFonts w:asciiTheme="minorHAnsi" w:eastAsia="Calibri" w:hAnsiTheme="minorHAnsi" w:cs="Calibri"/>
          <w:spacing w:val="-1"/>
          <w:sz w:val="24"/>
          <w:szCs w:val="24"/>
        </w:rPr>
        <w:t>L</w:t>
      </w:r>
      <w:r w:rsidR="00CA5C00">
        <w:rPr>
          <w:rFonts w:asciiTheme="minorHAnsi" w:eastAsia="Calibri" w:hAnsiTheme="minorHAnsi" w:cs="Calibri"/>
          <w:spacing w:val="-1"/>
          <w:sz w:val="24"/>
          <w:szCs w:val="24"/>
        </w:rPr>
        <w:t>.</w:t>
      </w:r>
      <w:r w:rsidRPr="00EB17C6">
        <w:rPr>
          <w:rFonts w:asciiTheme="minorHAnsi" w:eastAsia="Calibri" w:hAnsiTheme="minorHAnsi" w:cs="Calibri"/>
          <w:spacing w:val="-1"/>
          <w:sz w:val="24"/>
          <w:szCs w:val="24"/>
        </w:rPr>
        <w:t>, Williams J</w:t>
      </w:r>
      <w:r w:rsidR="00CA5C00">
        <w:rPr>
          <w:rFonts w:asciiTheme="minorHAnsi" w:eastAsia="Calibri" w:hAnsiTheme="minorHAnsi" w:cs="Calibri"/>
          <w:spacing w:val="-1"/>
          <w:sz w:val="24"/>
          <w:szCs w:val="24"/>
        </w:rPr>
        <w:t>.</w:t>
      </w:r>
      <w:r w:rsidRPr="00EB17C6">
        <w:rPr>
          <w:rFonts w:asciiTheme="minorHAnsi" w:eastAsia="Calibri" w:hAnsiTheme="minorHAnsi" w:cs="Calibri"/>
          <w:spacing w:val="-1"/>
          <w:sz w:val="24"/>
          <w:szCs w:val="24"/>
        </w:rPr>
        <w:t>B.</w:t>
      </w:r>
      <w:r w:rsidR="00B23812" w:rsidRPr="00EB17C6">
        <w:rPr>
          <w:rFonts w:asciiTheme="minorHAnsi" w:eastAsia="Calibri" w:hAnsiTheme="minorHAnsi" w:cs="Calibri"/>
          <w:spacing w:val="-1"/>
          <w:sz w:val="24"/>
          <w:szCs w:val="24"/>
        </w:rPr>
        <w:t xml:space="preserve"> (2003).</w:t>
      </w:r>
      <w:r w:rsidRPr="00EB17C6">
        <w:rPr>
          <w:rFonts w:asciiTheme="minorHAnsi" w:eastAsia="Calibri" w:hAnsiTheme="minorHAnsi" w:cs="Calibri"/>
          <w:spacing w:val="-1"/>
          <w:sz w:val="24"/>
          <w:szCs w:val="24"/>
        </w:rPr>
        <w:t xml:space="preserve"> The Patient Health Questionnaire-2: Validity of a Two-Item Depression Screener. </w:t>
      </w:r>
      <w:r w:rsidRPr="00EB17C6">
        <w:rPr>
          <w:rFonts w:asciiTheme="minorHAnsi" w:eastAsia="Calibri" w:hAnsiTheme="minorHAnsi" w:cs="Calibri"/>
          <w:i/>
          <w:spacing w:val="-1"/>
          <w:sz w:val="24"/>
          <w:szCs w:val="24"/>
        </w:rPr>
        <w:t>Medical Care</w:t>
      </w:r>
      <w:r w:rsidR="00B23812" w:rsidRPr="00EB17C6">
        <w:rPr>
          <w:rFonts w:asciiTheme="minorHAnsi" w:eastAsia="Calibri" w:hAnsiTheme="minorHAnsi" w:cs="Calibri"/>
          <w:spacing w:val="-1"/>
          <w:sz w:val="24"/>
          <w:szCs w:val="24"/>
        </w:rPr>
        <w:t>.</w:t>
      </w:r>
      <w:r w:rsidRPr="00EB17C6">
        <w:rPr>
          <w:rFonts w:asciiTheme="minorHAnsi" w:eastAsia="Calibri" w:hAnsiTheme="minorHAnsi" w:cs="Calibri"/>
          <w:spacing w:val="-1"/>
          <w:sz w:val="24"/>
          <w:szCs w:val="24"/>
        </w:rPr>
        <w:t xml:space="preserve"> </w:t>
      </w:r>
      <w:r w:rsidR="00B23812" w:rsidRPr="00EB17C6">
        <w:rPr>
          <w:rFonts w:asciiTheme="minorHAnsi" w:eastAsia="Calibri" w:hAnsiTheme="minorHAnsi" w:cs="Calibri"/>
          <w:i/>
          <w:spacing w:val="-1"/>
          <w:sz w:val="24"/>
          <w:szCs w:val="24"/>
        </w:rPr>
        <w:t>41</w:t>
      </w:r>
      <w:r w:rsidR="00B23812" w:rsidRPr="00EB17C6">
        <w:rPr>
          <w:rFonts w:asciiTheme="minorHAnsi" w:eastAsia="Calibri" w:hAnsiTheme="minorHAnsi" w:cs="Calibri"/>
          <w:spacing w:val="-1"/>
          <w:sz w:val="24"/>
          <w:szCs w:val="24"/>
        </w:rPr>
        <w:t>(1</w:t>
      </w:r>
      <w:r w:rsidRPr="00EB17C6">
        <w:rPr>
          <w:rFonts w:asciiTheme="minorHAnsi" w:eastAsia="Calibri" w:hAnsiTheme="minorHAnsi" w:cs="Calibri"/>
          <w:spacing w:val="-1"/>
          <w:sz w:val="24"/>
          <w:szCs w:val="24"/>
        </w:rPr>
        <w:t>1</w:t>
      </w:r>
      <w:r w:rsidR="00B23812" w:rsidRPr="00EB17C6">
        <w:rPr>
          <w:rFonts w:asciiTheme="minorHAnsi" w:eastAsia="Calibri" w:hAnsiTheme="minorHAnsi" w:cs="Calibri"/>
          <w:spacing w:val="-1"/>
          <w:sz w:val="24"/>
          <w:szCs w:val="24"/>
        </w:rPr>
        <w:t>,</w:t>
      </w:r>
      <w:r w:rsidRPr="00EB17C6">
        <w:rPr>
          <w:rFonts w:asciiTheme="minorHAnsi" w:eastAsia="Calibri" w:hAnsiTheme="minorHAnsi" w:cs="Calibri"/>
          <w:spacing w:val="-1"/>
          <w:sz w:val="24"/>
          <w:szCs w:val="24"/>
        </w:rPr>
        <w:t xml:space="preserve">) 1284-1294. </w:t>
      </w:r>
      <w:r w:rsidR="007B2C8D" w:rsidRPr="00EB17C6">
        <w:rPr>
          <w:rFonts w:asciiTheme="minorHAnsi" w:eastAsia="Calibri" w:hAnsiTheme="minorHAnsi" w:cstheme="minorHAnsi"/>
          <w:spacing w:val="-1"/>
          <w:sz w:val="24"/>
          <w:szCs w:val="24"/>
        </w:rPr>
        <w:t>DOI</w:t>
      </w:r>
      <w:r w:rsidR="000F57C1" w:rsidRPr="00EB17C6">
        <w:rPr>
          <w:rFonts w:asciiTheme="minorHAnsi" w:eastAsia="Calibri" w:hAnsiTheme="minorHAnsi" w:cstheme="minorHAnsi"/>
          <w:spacing w:val="-1"/>
          <w:sz w:val="24"/>
          <w:szCs w:val="24"/>
        </w:rPr>
        <w:t xml:space="preserve">: </w:t>
      </w:r>
      <w:r w:rsidR="000F57C1" w:rsidRPr="00EB17C6">
        <w:rPr>
          <w:rFonts w:asciiTheme="minorHAnsi" w:hAnsiTheme="minorHAnsi" w:cstheme="minorHAnsi"/>
          <w:sz w:val="24"/>
          <w:szCs w:val="24"/>
          <w:shd w:val="clear" w:color="auto" w:fill="FFFFFF"/>
        </w:rPr>
        <w:t>10.1097/01.MLR.0000093487.78664.3C</w:t>
      </w:r>
    </w:p>
    <w:p w14:paraId="19B8FAA9" w14:textId="77777777" w:rsidR="000F57C1" w:rsidRPr="00EB17C6" w:rsidRDefault="004374F5" w:rsidP="00EB17C6">
      <w:pPr>
        <w:pStyle w:val="ListParagraph"/>
        <w:spacing w:before="2" w:line="259" w:lineRule="auto"/>
        <w:ind w:left="1440" w:right="181"/>
        <w:jc w:val="both"/>
        <w:rPr>
          <w:rFonts w:asciiTheme="minorHAnsi" w:eastAsia="Calibri" w:hAnsiTheme="minorHAnsi" w:cs="Calibri"/>
          <w:sz w:val="24"/>
          <w:szCs w:val="24"/>
        </w:rPr>
      </w:pPr>
      <w:r w:rsidRPr="00EB17C6">
        <w:rPr>
          <w:rFonts w:asciiTheme="minorHAnsi" w:eastAsia="Calibri" w:hAnsiTheme="minorHAnsi" w:cs="Calibri"/>
          <w:sz w:val="24"/>
          <w:szCs w:val="24"/>
        </w:rPr>
        <w:t>Many</w:t>
      </w:r>
      <w:r w:rsidR="00B23812" w:rsidRPr="00EB17C6">
        <w:rPr>
          <w:rFonts w:asciiTheme="minorHAnsi" w:eastAsia="Calibri" w:hAnsiTheme="minorHAnsi" w:cs="Calibri"/>
          <w:sz w:val="24"/>
          <w:szCs w:val="24"/>
        </w:rPr>
        <w:t xml:space="preserve"> self-administered questionnaires are available for assessing depression severity, including the 9-item Patient Health Questionnaire depression module (PHQ-9). Because even briefer measures might be desirable for use in busy clinical settings or as </w:t>
      </w:r>
      <w:r w:rsidR="00B23812" w:rsidRPr="00EB17C6">
        <w:rPr>
          <w:rFonts w:asciiTheme="minorHAnsi" w:eastAsia="Calibri" w:hAnsiTheme="minorHAnsi" w:cs="Calibri"/>
          <w:sz w:val="24"/>
          <w:szCs w:val="24"/>
        </w:rPr>
        <w:lastRenderedPageBreak/>
        <w:t xml:space="preserve">part of comprehensive health questionnaires, </w:t>
      </w:r>
      <w:r w:rsidR="000F57C1" w:rsidRPr="00EB17C6">
        <w:rPr>
          <w:rFonts w:asciiTheme="minorHAnsi" w:eastAsia="Calibri" w:hAnsiTheme="minorHAnsi" w:cs="Calibri"/>
          <w:sz w:val="24"/>
          <w:szCs w:val="24"/>
        </w:rPr>
        <w:t>the study investigators</w:t>
      </w:r>
      <w:r w:rsidR="00B23812" w:rsidRPr="00EB17C6">
        <w:rPr>
          <w:rFonts w:asciiTheme="minorHAnsi" w:eastAsia="Calibri" w:hAnsiTheme="minorHAnsi" w:cs="Calibri"/>
          <w:sz w:val="24"/>
          <w:szCs w:val="24"/>
        </w:rPr>
        <w:t xml:space="preserve"> evaluated a 2-item version of the PHQ depression module, the PHQ-2.</w:t>
      </w:r>
      <w:r w:rsidR="000F57C1" w:rsidRPr="00EB17C6">
        <w:rPr>
          <w:rFonts w:asciiTheme="minorHAnsi" w:eastAsia="Calibri" w:hAnsiTheme="minorHAnsi" w:cs="Calibri"/>
          <w:sz w:val="24"/>
          <w:szCs w:val="24"/>
        </w:rPr>
        <w:t xml:space="preserve"> </w:t>
      </w:r>
      <w:r w:rsidR="00B23812" w:rsidRPr="00EB17C6">
        <w:rPr>
          <w:rFonts w:asciiTheme="minorHAnsi" w:eastAsia="Calibri" w:hAnsiTheme="minorHAnsi" w:cs="Calibri"/>
          <w:sz w:val="24"/>
          <w:szCs w:val="24"/>
        </w:rPr>
        <w:t xml:space="preserve">The PHQ-2 </w:t>
      </w:r>
      <w:proofErr w:type="spellStart"/>
      <w:r w:rsidR="00B23812" w:rsidRPr="00EB17C6">
        <w:rPr>
          <w:rFonts w:asciiTheme="minorHAnsi" w:eastAsia="Calibri" w:hAnsiTheme="minorHAnsi" w:cs="Calibri"/>
          <w:sz w:val="24"/>
          <w:szCs w:val="24"/>
        </w:rPr>
        <w:t>inquires</w:t>
      </w:r>
      <w:proofErr w:type="spellEnd"/>
      <w:r w:rsidR="00B23812" w:rsidRPr="00EB17C6">
        <w:rPr>
          <w:rFonts w:asciiTheme="minorHAnsi" w:eastAsia="Calibri" w:hAnsiTheme="minorHAnsi" w:cs="Calibri"/>
          <w:sz w:val="24"/>
          <w:szCs w:val="24"/>
        </w:rPr>
        <w:t xml:space="preserve"> about the frequency of depressed mood and anhedonia over the past 2 weeks, scoring each as 0 ("not at all") to 3 ("nearly every day"). The PHQ-2 was completed by 6000 patients in 8 primary care clinics and 7 obstetrics-gynecology clinics. Construct validity was assessed using the 20-item Short-Form General Health Survey, self-reported sick days and clinic visits, and symptom-related difficulty. Criterion validity was assessed against an independent structured mental health professional (MHP) interview in a sample of 580 patients.</w:t>
      </w:r>
    </w:p>
    <w:p w14:paraId="6874F4D1" w14:textId="7CCC9193" w:rsidR="00DC3A0A" w:rsidRPr="00EB17C6" w:rsidRDefault="000F57C1" w:rsidP="000F57C1">
      <w:pPr>
        <w:pStyle w:val="ListParagraph"/>
        <w:numPr>
          <w:ilvl w:val="0"/>
          <w:numId w:val="2"/>
        </w:numPr>
        <w:rPr>
          <w:rFonts w:asciiTheme="minorHAnsi" w:eastAsia="Calibri" w:hAnsiTheme="minorHAnsi" w:cs="Calibri"/>
          <w:spacing w:val="-1"/>
          <w:sz w:val="24"/>
          <w:szCs w:val="24"/>
        </w:rPr>
      </w:pPr>
      <w:r w:rsidRPr="00EB17C6">
        <w:rPr>
          <w:rFonts w:asciiTheme="minorHAnsi" w:eastAsia="Calibri" w:hAnsiTheme="minorHAnsi" w:cs="Calibri"/>
          <w:spacing w:val="-1"/>
          <w:sz w:val="24"/>
          <w:szCs w:val="24"/>
        </w:rPr>
        <w:t>Spitzer, R.L., Kroenke</w:t>
      </w:r>
      <w:r w:rsidR="00CA5C00">
        <w:rPr>
          <w:rFonts w:asciiTheme="minorHAnsi" w:eastAsia="Calibri" w:hAnsiTheme="minorHAnsi" w:cs="Calibri"/>
          <w:spacing w:val="-1"/>
          <w:sz w:val="24"/>
          <w:szCs w:val="24"/>
        </w:rPr>
        <w:t>, K., Williams, J.B., Lowe, B. (</w:t>
      </w:r>
      <w:r w:rsidRPr="00EB17C6">
        <w:rPr>
          <w:rFonts w:asciiTheme="minorHAnsi" w:eastAsia="Calibri" w:hAnsiTheme="minorHAnsi" w:cs="Calibri"/>
          <w:spacing w:val="-1"/>
          <w:sz w:val="24"/>
          <w:szCs w:val="24"/>
        </w:rPr>
        <w:t>2006</w:t>
      </w:r>
      <w:r w:rsidR="00CA5C00">
        <w:rPr>
          <w:rFonts w:asciiTheme="minorHAnsi" w:eastAsia="Calibri" w:hAnsiTheme="minorHAnsi" w:cs="Calibri"/>
          <w:spacing w:val="-1"/>
          <w:sz w:val="24"/>
          <w:szCs w:val="24"/>
        </w:rPr>
        <w:t>)</w:t>
      </w:r>
      <w:r w:rsidRPr="00EB17C6">
        <w:rPr>
          <w:rFonts w:asciiTheme="minorHAnsi" w:eastAsia="Calibri" w:hAnsiTheme="minorHAnsi" w:cs="Calibri"/>
          <w:spacing w:val="-1"/>
          <w:sz w:val="24"/>
          <w:szCs w:val="24"/>
        </w:rPr>
        <w:t xml:space="preserve">. A brief measure for assessing generalized anxiety disorder: the GAD-7. </w:t>
      </w:r>
      <w:r w:rsidRPr="00EB17C6">
        <w:rPr>
          <w:rFonts w:asciiTheme="minorHAnsi" w:eastAsia="Calibri" w:hAnsiTheme="minorHAnsi" w:cs="Calibri"/>
          <w:i/>
          <w:spacing w:val="-1"/>
          <w:sz w:val="24"/>
          <w:szCs w:val="24"/>
        </w:rPr>
        <w:t>Archives of Internal Medicine</w:t>
      </w:r>
      <w:r w:rsidRPr="00EB17C6">
        <w:rPr>
          <w:rFonts w:asciiTheme="minorHAnsi" w:eastAsia="Calibri" w:hAnsiTheme="minorHAnsi" w:cs="Calibri"/>
          <w:spacing w:val="-1"/>
          <w:sz w:val="24"/>
          <w:szCs w:val="24"/>
        </w:rPr>
        <w:t xml:space="preserve">. </w:t>
      </w:r>
      <w:r w:rsidRPr="00EB17C6">
        <w:rPr>
          <w:rFonts w:asciiTheme="minorHAnsi" w:eastAsia="Calibri" w:hAnsiTheme="minorHAnsi" w:cs="Calibri"/>
          <w:i/>
          <w:spacing w:val="-1"/>
          <w:sz w:val="24"/>
          <w:szCs w:val="24"/>
        </w:rPr>
        <w:t>166</w:t>
      </w:r>
      <w:r w:rsidRPr="00EB17C6">
        <w:rPr>
          <w:rFonts w:asciiTheme="minorHAnsi" w:eastAsia="Calibri" w:hAnsiTheme="minorHAnsi" w:cs="Calibri"/>
          <w:spacing w:val="-1"/>
          <w:sz w:val="24"/>
          <w:szCs w:val="24"/>
        </w:rPr>
        <w:t xml:space="preserve">(10), 1092–1097. </w:t>
      </w:r>
      <w:r w:rsidR="007B2C8D" w:rsidRPr="00EB17C6">
        <w:rPr>
          <w:rFonts w:asciiTheme="minorHAnsi" w:eastAsia="Calibri" w:hAnsiTheme="minorHAnsi" w:cs="Calibri"/>
          <w:spacing w:val="-1"/>
          <w:sz w:val="24"/>
          <w:szCs w:val="24"/>
        </w:rPr>
        <w:t>DOI</w:t>
      </w:r>
      <w:r w:rsidRPr="00EB17C6">
        <w:rPr>
          <w:rFonts w:asciiTheme="minorHAnsi" w:eastAsia="Calibri" w:hAnsiTheme="minorHAnsi" w:cs="Calibri"/>
          <w:spacing w:val="-1"/>
          <w:sz w:val="24"/>
          <w:szCs w:val="24"/>
        </w:rPr>
        <w:t>: 10.1001/archinte.166.10.1092</w:t>
      </w:r>
    </w:p>
    <w:p w14:paraId="69E0E471" w14:textId="77777777" w:rsidR="000F57C1" w:rsidRPr="00EB17C6" w:rsidRDefault="000F57C1" w:rsidP="00EB17C6">
      <w:pPr>
        <w:tabs>
          <w:tab w:val="left" w:pos="1540"/>
        </w:tabs>
        <w:spacing w:before="23"/>
        <w:ind w:left="1540" w:right="100" w:hanging="360"/>
        <w:jc w:val="both"/>
        <w:rPr>
          <w:rFonts w:asciiTheme="minorHAnsi" w:eastAsia="Calibri" w:hAnsiTheme="minorHAnsi" w:cs="Calibri"/>
          <w:sz w:val="24"/>
          <w:szCs w:val="24"/>
        </w:rPr>
      </w:pPr>
      <w:r w:rsidRPr="00EB17C6">
        <w:rPr>
          <w:rFonts w:asciiTheme="minorHAnsi" w:eastAsia="Calibri" w:hAnsiTheme="minorHAnsi" w:cs="Calibri"/>
          <w:sz w:val="24"/>
          <w:szCs w:val="24"/>
        </w:rPr>
        <w:tab/>
        <w:t>Generalized anxiety disorder (GAD) is one of the most common mental disorders; however, there is no brief clinical measure for</w:t>
      </w:r>
    </w:p>
    <w:p w14:paraId="73A8C02E" w14:textId="77777777" w:rsidR="00DC3A0A" w:rsidRPr="00EB17C6" w:rsidRDefault="000F57C1" w:rsidP="00EB17C6">
      <w:pPr>
        <w:tabs>
          <w:tab w:val="left" w:pos="1540"/>
        </w:tabs>
        <w:spacing w:before="23"/>
        <w:ind w:left="1540" w:right="100" w:hanging="360"/>
        <w:jc w:val="both"/>
        <w:rPr>
          <w:rFonts w:asciiTheme="minorHAnsi" w:eastAsia="Calibri" w:hAnsiTheme="minorHAnsi" w:cs="Calibri"/>
          <w:sz w:val="24"/>
          <w:szCs w:val="24"/>
        </w:rPr>
      </w:pPr>
      <w:r w:rsidRPr="00EB17C6">
        <w:rPr>
          <w:rFonts w:asciiTheme="minorHAnsi" w:eastAsia="Calibri" w:hAnsiTheme="minorHAnsi" w:cs="Calibri"/>
          <w:sz w:val="24"/>
          <w:szCs w:val="24"/>
        </w:rPr>
        <w:tab/>
        <w:t>assessing GAD. The objective of this study was to develop a brief self-report scale to identify probable cases of GAD and evaluate its reliability and validity. A criterion-standard study was performed in 15 primary care clinics in the United States from November 2004 through June 2005. Of a total of 2740 adult patients completing a study questionnaire, 965 patients had a telephone interview with a mental health professional within 1 week. For criterion and construct validity, GAD self-report scale diagnoses were compared with independent diagnoses made by mental health professionals; functional status measures; disability days; and health care use.</w:t>
      </w:r>
    </w:p>
    <w:p w14:paraId="2BE18B97" w14:textId="77777777" w:rsidR="0014498C" w:rsidRPr="00EB17C6" w:rsidRDefault="00EB17C6" w:rsidP="001E08A6">
      <w:pPr>
        <w:ind w:left="820" w:right="257" w:hanging="360"/>
        <w:rPr>
          <w:rFonts w:asciiTheme="minorHAnsi" w:hAnsiTheme="minorHAnsi" w:cstheme="minorHAnsi"/>
          <w:sz w:val="24"/>
          <w:szCs w:val="24"/>
          <w:shd w:val="clear" w:color="auto" w:fill="FFFFFF"/>
        </w:rPr>
      </w:pPr>
      <w:r>
        <w:rPr>
          <w:rFonts w:asciiTheme="minorHAnsi" w:eastAsia="Calibri" w:hAnsiTheme="minorHAnsi" w:cstheme="minorHAnsi"/>
          <w:spacing w:val="1"/>
          <w:sz w:val="24"/>
          <w:szCs w:val="24"/>
        </w:rPr>
        <w:t>5</w:t>
      </w:r>
      <w:r w:rsidR="001E08A6" w:rsidRPr="00EB17C6">
        <w:rPr>
          <w:rFonts w:asciiTheme="minorHAnsi" w:eastAsia="Calibri" w:hAnsiTheme="minorHAnsi" w:cstheme="minorHAnsi"/>
          <w:sz w:val="24"/>
          <w:szCs w:val="24"/>
        </w:rPr>
        <w:t xml:space="preserve">.  </w:t>
      </w:r>
      <w:r w:rsidR="001E08A6" w:rsidRPr="00EB17C6">
        <w:rPr>
          <w:rFonts w:asciiTheme="minorHAnsi" w:eastAsia="Calibri" w:hAnsiTheme="minorHAnsi" w:cstheme="minorHAnsi"/>
          <w:spacing w:val="15"/>
          <w:sz w:val="24"/>
          <w:szCs w:val="24"/>
        </w:rPr>
        <w:t xml:space="preserve"> </w:t>
      </w:r>
      <w:r w:rsidR="001E08A6" w:rsidRPr="00EB17C6">
        <w:rPr>
          <w:rFonts w:asciiTheme="minorHAnsi" w:hAnsiTheme="minorHAnsi" w:cstheme="minorHAnsi"/>
          <w:sz w:val="24"/>
          <w:szCs w:val="24"/>
          <w:shd w:val="clear" w:color="auto" w:fill="FFFFFF"/>
        </w:rPr>
        <w:t xml:space="preserve">Roberts, A. L., Rosario, M., Corliss, H. L., </w:t>
      </w:r>
      <w:proofErr w:type="spellStart"/>
      <w:r w:rsidR="001E08A6" w:rsidRPr="00EB17C6">
        <w:rPr>
          <w:rFonts w:asciiTheme="minorHAnsi" w:hAnsiTheme="minorHAnsi" w:cstheme="minorHAnsi"/>
          <w:sz w:val="24"/>
          <w:szCs w:val="24"/>
          <w:shd w:val="clear" w:color="auto" w:fill="FFFFFF"/>
        </w:rPr>
        <w:t>Koenen</w:t>
      </w:r>
      <w:proofErr w:type="spellEnd"/>
      <w:r w:rsidR="001E08A6" w:rsidRPr="00EB17C6">
        <w:rPr>
          <w:rFonts w:asciiTheme="minorHAnsi" w:hAnsiTheme="minorHAnsi" w:cstheme="minorHAnsi"/>
          <w:sz w:val="24"/>
          <w:szCs w:val="24"/>
          <w:shd w:val="clear" w:color="auto" w:fill="FFFFFF"/>
        </w:rPr>
        <w:t>, K. C., &amp; Austin, S. B. (2012). Elevated Risk of Posttraumatic Stress in Sexual Minority Youths: Mediation by Childhood Abuse and Gender Nonconformity. </w:t>
      </w:r>
      <w:r w:rsidR="001E08A6" w:rsidRPr="00EB17C6">
        <w:rPr>
          <w:rFonts w:asciiTheme="minorHAnsi" w:hAnsiTheme="minorHAnsi" w:cstheme="minorHAnsi"/>
          <w:i/>
          <w:iCs/>
          <w:sz w:val="24"/>
          <w:szCs w:val="24"/>
          <w:shd w:val="clear" w:color="auto" w:fill="FFFFFF"/>
        </w:rPr>
        <w:t>American Journal of Public Health</w:t>
      </w:r>
      <w:r w:rsidR="001E08A6" w:rsidRPr="00EB17C6">
        <w:rPr>
          <w:rFonts w:asciiTheme="minorHAnsi" w:hAnsiTheme="minorHAnsi" w:cstheme="minorHAnsi"/>
          <w:sz w:val="24"/>
          <w:szCs w:val="24"/>
          <w:shd w:val="clear" w:color="auto" w:fill="FFFFFF"/>
        </w:rPr>
        <w:t>, </w:t>
      </w:r>
      <w:r w:rsidR="001E08A6" w:rsidRPr="00EB17C6">
        <w:rPr>
          <w:rFonts w:asciiTheme="minorHAnsi" w:hAnsiTheme="minorHAnsi" w:cstheme="minorHAnsi"/>
          <w:i/>
          <w:iCs/>
          <w:sz w:val="24"/>
          <w:szCs w:val="24"/>
          <w:shd w:val="clear" w:color="auto" w:fill="FFFFFF"/>
        </w:rPr>
        <w:t>102</w:t>
      </w:r>
      <w:r w:rsidR="001E08A6" w:rsidRPr="00EB17C6">
        <w:rPr>
          <w:rFonts w:asciiTheme="minorHAnsi" w:hAnsiTheme="minorHAnsi" w:cstheme="minorHAnsi"/>
          <w:sz w:val="24"/>
          <w:szCs w:val="24"/>
          <w:shd w:val="clear" w:color="auto" w:fill="FFFFFF"/>
        </w:rPr>
        <w:t xml:space="preserve">(8), 1587–1593. </w:t>
      </w:r>
    </w:p>
    <w:p w14:paraId="06B4E278" w14:textId="77777777" w:rsidR="001E08A6" w:rsidRPr="00EB17C6" w:rsidRDefault="007B2C8D" w:rsidP="007B2C8D">
      <w:pPr>
        <w:ind w:left="820" w:right="257"/>
        <w:rPr>
          <w:rFonts w:asciiTheme="minorHAnsi" w:hAnsiTheme="minorHAnsi" w:cstheme="minorHAnsi"/>
          <w:sz w:val="24"/>
          <w:szCs w:val="24"/>
          <w:shd w:val="clear" w:color="auto" w:fill="FFFFFF"/>
        </w:rPr>
      </w:pPr>
      <w:r w:rsidRPr="00EB17C6">
        <w:rPr>
          <w:rFonts w:asciiTheme="minorHAnsi" w:hAnsiTheme="minorHAnsi" w:cstheme="minorHAnsi"/>
          <w:sz w:val="24"/>
          <w:szCs w:val="24"/>
          <w:shd w:val="clear" w:color="auto" w:fill="FFFFFF"/>
        </w:rPr>
        <w:t>DOI</w:t>
      </w:r>
      <w:r w:rsidR="0014498C" w:rsidRPr="00EB17C6">
        <w:rPr>
          <w:rFonts w:asciiTheme="minorHAnsi" w:hAnsiTheme="minorHAnsi" w:cstheme="minorHAnsi"/>
          <w:sz w:val="24"/>
          <w:szCs w:val="24"/>
          <w:shd w:val="clear" w:color="auto" w:fill="FFFFFF"/>
        </w:rPr>
        <w:t xml:space="preserve">: </w:t>
      </w:r>
      <w:hyperlink r:id="rId10" w:history="1">
        <w:r w:rsidR="001E08A6" w:rsidRPr="00EB17C6">
          <w:rPr>
            <w:rStyle w:val="Hyperlink"/>
            <w:rFonts w:asciiTheme="minorHAnsi" w:hAnsiTheme="minorHAnsi" w:cstheme="minorHAnsi"/>
            <w:color w:val="auto"/>
            <w:sz w:val="24"/>
            <w:szCs w:val="24"/>
            <w:shd w:val="clear" w:color="auto" w:fill="FFFFFF"/>
          </w:rPr>
          <w:t>http://doi.org/10.2105/AJPH.2011.300530</w:t>
        </w:r>
      </w:hyperlink>
    </w:p>
    <w:p w14:paraId="6460DB6D" w14:textId="77777777" w:rsidR="001E08A6" w:rsidRPr="00EB17C6" w:rsidRDefault="001E08A6" w:rsidP="00EB17C6">
      <w:pPr>
        <w:ind w:left="1440" w:right="257"/>
        <w:jc w:val="both"/>
        <w:rPr>
          <w:rFonts w:asciiTheme="minorHAnsi" w:eastAsia="Calibri" w:hAnsiTheme="minorHAnsi" w:cs="Calibri"/>
          <w:sz w:val="24"/>
          <w:szCs w:val="24"/>
        </w:rPr>
      </w:pPr>
      <w:r w:rsidRPr="00EB17C6">
        <w:rPr>
          <w:rFonts w:asciiTheme="minorHAnsi" w:eastAsia="Calibri" w:hAnsiTheme="minorHAnsi" w:cstheme="minorHAnsi"/>
          <w:sz w:val="24"/>
          <w:szCs w:val="24"/>
        </w:rPr>
        <w:t>Study investigators examined whether</w:t>
      </w:r>
      <w:r w:rsidRPr="00EB17C6">
        <w:rPr>
          <w:rFonts w:asciiTheme="minorHAnsi" w:eastAsia="Calibri" w:hAnsiTheme="minorHAnsi" w:cs="Calibri"/>
          <w:sz w:val="24"/>
          <w:szCs w:val="24"/>
        </w:rPr>
        <w:t xml:space="preserve"> lifetime risk of posttraumatic stress disorder (PTSD) was elevated in sexual minority versus heterosexual youths, whether childhood abuse accounted for disparities in PTSD, and whether childhood gender nonconformity explained sexual-orientation disparities in abuse and subsequent PTSD. </w:t>
      </w:r>
      <w:r w:rsidRPr="00EB17C6">
        <w:rPr>
          <w:rFonts w:asciiTheme="minorHAnsi" w:eastAsia="Calibri" w:hAnsiTheme="minorHAnsi" w:cs="Calibri"/>
          <w:iCs/>
          <w:sz w:val="24"/>
          <w:szCs w:val="24"/>
        </w:rPr>
        <w:t>Study investigators</w:t>
      </w:r>
      <w:r w:rsidRPr="00EB17C6">
        <w:rPr>
          <w:rFonts w:asciiTheme="minorHAnsi" w:eastAsia="Calibri" w:hAnsiTheme="minorHAnsi" w:cs="Calibri"/>
          <w:sz w:val="24"/>
          <w:szCs w:val="24"/>
        </w:rPr>
        <w:t xml:space="preserve"> data from a population-based study (n = 9369, mean age = 22.7 years) to estimate risk ratios for PTSD. </w:t>
      </w:r>
      <w:r w:rsidR="00FC0628" w:rsidRPr="00EB17C6">
        <w:rPr>
          <w:rFonts w:asciiTheme="minorHAnsi" w:eastAsia="Calibri" w:hAnsiTheme="minorHAnsi" w:cs="Calibri"/>
          <w:sz w:val="24"/>
          <w:szCs w:val="24"/>
        </w:rPr>
        <w:t>They</w:t>
      </w:r>
      <w:r w:rsidRPr="00EB17C6">
        <w:rPr>
          <w:rFonts w:asciiTheme="minorHAnsi" w:eastAsia="Calibri" w:hAnsiTheme="minorHAnsi" w:cs="Calibri"/>
          <w:sz w:val="24"/>
          <w:szCs w:val="24"/>
        </w:rPr>
        <w:t xml:space="preserve"> calculated the percentage of PTSD disparities by sexual orientation accounted for by childhood abuse and gender nonconformity, and the percentage of abuse disparities by sexual orientation accounted for by gender nonconformity.</w:t>
      </w:r>
      <w:r w:rsidR="00FC0628" w:rsidRPr="00EB17C6">
        <w:rPr>
          <w:rFonts w:asciiTheme="minorHAnsi" w:eastAsia="Calibri" w:hAnsiTheme="minorHAnsi" w:cs="Calibri"/>
          <w:sz w:val="24"/>
          <w:szCs w:val="24"/>
        </w:rPr>
        <w:t xml:space="preserve"> </w:t>
      </w:r>
      <w:r w:rsidRPr="00EB17C6">
        <w:rPr>
          <w:rFonts w:asciiTheme="minorHAnsi" w:eastAsia="Calibri" w:hAnsiTheme="minorHAnsi" w:cs="Calibri"/>
          <w:sz w:val="24"/>
          <w:szCs w:val="24"/>
        </w:rPr>
        <w:t xml:space="preserve">Sexual minorities had between </w:t>
      </w:r>
      <w:proofErr w:type="gramStart"/>
      <w:r w:rsidRPr="00EB17C6">
        <w:rPr>
          <w:rFonts w:asciiTheme="minorHAnsi" w:eastAsia="Calibri" w:hAnsiTheme="minorHAnsi" w:cs="Calibri"/>
          <w:sz w:val="24"/>
          <w:szCs w:val="24"/>
        </w:rPr>
        <w:t>1.6 and 3.9 times</w:t>
      </w:r>
      <w:proofErr w:type="gramEnd"/>
      <w:r w:rsidRPr="00EB17C6">
        <w:rPr>
          <w:rFonts w:asciiTheme="minorHAnsi" w:eastAsia="Calibri" w:hAnsiTheme="minorHAnsi" w:cs="Calibri"/>
          <w:sz w:val="24"/>
          <w:szCs w:val="24"/>
        </w:rPr>
        <w:t xml:space="preserve"> greater risk of probable PTSD than heterosexuals. Child abuse victimization disparities accounted for one third to one half of PTSD disparities by sexual orientation. Higher prevalence of gender nonconformity before age 11 years partly accounted for higher prevalence of abuse exposure before age 11 years and PTSD by early adulthood in sexual minorities (range = 5.2%–33.2%).</w:t>
      </w:r>
    </w:p>
    <w:p w14:paraId="72CEC986" w14:textId="7F56117D" w:rsidR="001E08A6" w:rsidRPr="00EB17C6" w:rsidRDefault="00EB17C6" w:rsidP="007B2C8D">
      <w:pPr>
        <w:ind w:left="820" w:right="257" w:hanging="360"/>
        <w:rPr>
          <w:rFonts w:asciiTheme="minorHAnsi" w:eastAsia="Calibri" w:hAnsiTheme="minorHAnsi" w:cs="Calibri"/>
          <w:sz w:val="24"/>
          <w:szCs w:val="24"/>
        </w:rPr>
      </w:pPr>
      <w:r>
        <w:rPr>
          <w:rFonts w:asciiTheme="minorHAnsi" w:eastAsia="Calibri" w:hAnsiTheme="minorHAnsi" w:cs="Calibri"/>
          <w:spacing w:val="1"/>
          <w:sz w:val="24"/>
          <w:szCs w:val="24"/>
        </w:rPr>
        <w:t>6</w:t>
      </w:r>
      <w:r w:rsidR="001E08A6" w:rsidRPr="00EB17C6">
        <w:rPr>
          <w:rFonts w:asciiTheme="minorHAnsi" w:eastAsia="Calibri" w:hAnsiTheme="minorHAnsi" w:cs="Calibri"/>
          <w:sz w:val="24"/>
          <w:szCs w:val="24"/>
        </w:rPr>
        <w:t xml:space="preserve">.  </w:t>
      </w:r>
      <w:r w:rsidR="001E08A6" w:rsidRPr="00EB17C6">
        <w:rPr>
          <w:rFonts w:asciiTheme="minorHAnsi" w:eastAsia="Calibri" w:hAnsiTheme="minorHAnsi" w:cs="Calibri"/>
          <w:spacing w:val="15"/>
          <w:sz w:val="24"/>
          <w:szCs w:val="24"/>
        </w:rPr>
        <w:t xml:space="preserve"> </w:t>
      </w:r>
      <w:r w:rsidR="007B2C8D" w:rsidRPr="00EB17C6">
        <w:rPr>
          <w:rFonts w:asciiTheme="minorHAnsi" w:eastAsia="Calibri" w:hAnsiTheme="minorHAnsi" w:cs="Calibri"/>
          <w:sz w:val="24"/>
          <w:szCs w:val="24"/>
        </w:rPr>
        <w:t xml:space="preserve">Williams, J. K., Wilton, L., Magnus, M., Wang, L., </w:t>
      </w:r>
      <w:r w:rsidR="00CA5C00">
        <w:rPr>
          <w:rFonts w:asciiTheme="minorHAnsi" w:eastAsia="Calibri" w:hAnsiTheme="minorHAnsi" w:cs="Calibri"/>
          <w:sz w:val="24"/>
          <w:szCs w:val="24"/>
        </w:rPr>
        <w:t>et al. (</w:t>
      </w:r>
      <w:r w:rsidR="007B2C8D" w:rsidRPr="00EB17C6">
        <w:rPr>
          <w:rFonts w:asciiTheme="minorHAnsi" w:eastAsia="Calibri" w:hAnsiTheme="minorHAnsi" w:cs="Calibri"/>
          <w:sz w:val="24"/>
          <w:szCs w:val="24"/>
        </w:rPr>
        <w:t>2015). HIV Prevention Trials Network 061 Study Team. Relation of Childhood Sexual Abuse, Intimate Partner Violence, and Depression to Risk Factors for HIV Among Black Men Who Have Sex With Men in 6 US Cities. </w:t>
      </w:r>
      <w:r w:rsidR="007B2C8D" w:rsidRPr="00EB17C6">
        <w:rPr>
          <w:rFonts w:asciiTheme="minorHAnsi" w:eastAsia="Calibri" w:hAnsiTheme="minorHAnsi" w:cs="Calibri"/>
          <w:i/>
          <w:sz w:val="24"/>
          <w:szCs w:val="24"/>
        </w:rPr>
        <w:t>American Journal of Public Health</w:t>
      </w:r>
      <w:r w:rsidR="007B2C8D" w:rsidRPr="00EB17C6">
        <w:rPr>
          <w:rFonts w:asciiTheme="minorHAnsi" w:eastAsia="Calibri" w:hAnsiTheme="minorHAnsi" w:cs="Calibri"/>
          <w:sz w:val="24"/>
          <w:szCs w:val="24"/>
        </w:rPr>
        <w:t>, </w:t>
      </w:r>
      <w:r w:rsidR="007B2C8D" w:rsidRPr="00EB17C6">
        <w:rPr>
          <w:rFonts w:asciiTheme="minorHAnsi" w:eastAsia="Calibri" w:hAnsiTheme="minorHAnsi" w:cs="Calibri"/>
          <w:i/>
          <w:sz w:val="24"/>
          <w:szCs w:val="24"/>
        </w:rPr>
        <w:t>105</w:t>
      </w:r>
      <w:r w:rsidR="007B2C8D" w:rsidRPr="00EB17C6">
        <w:rPr>
          <w:rFonts w:asciiTheme="minorHAnsi" w:eastAsia="Calibri" w:hAnsiTheme="minorHAnsi" w:cs="Calibri"/>
          <w:sz w:val="24"/>
          <w:szCs w:val="24"/>
        </w:rPr>
        <w:t>(12), 2473–2481. DOI: </w:t>
      </w:r>
      <w:hyperlink r:id="rId11" w:history="1">
        <w:r w:rsidR="007B2C8D" w:rsidRPr="00EB17C6">
          <w:rPr>
            <w:rStyle w:val="Hyperlink"/>
            <w:rFonts w:asciiTheme="minorHAnsi" w:eastAsia="Calibri" w:hAnsiTheme="minorHAnsi" w:cs="Calibri"/>
            <w:color w:val="auto"/>
            <w:sz w:val="24"/>
            <w:szCs w:val="24"/>
          </w:rPr>
          <w:t>10.2105/AJPH.2015.302878</w:t>
        </w:r>
      </w:hyperlink>
    </w:p>
    <w:p w14:paraId="02160D39" w14:textId="77777777" w:rsidR="001E08A6" w:rsidRPr="00EB17C6" w:rsidRDefault="001E08A6" w:rsidP="00EB17C6">
      <w:pPr>
        <w:tabs>
          <w:tab w:val="left" w:pos="1540"/>
        </w:tabs>
        <w:spacing w:before="3" w:line="280" w:lineRule="exact"/>
        <w:ind w:left="1540" w:right="112" w:hanging="360"/>
        <w:jc w:val="both"/>
        <w:rPr>
          <w:rFonts w:asciiTheme="minorHAnsi" w:eastAsia="Calibri" w:hAnsiTheme="minorHAnsi" w:cs="Calibri"/>
          <w:sz w:val="24"/>
          <w:szCs w:val="24"/>
        </w:rPr>
      </w:pPr>
      <w:r w:rsidRPr="00EB17C6">
        <w:rPr>
          <w:rFonts w:asciiTheme="minorHAnsi" w:hAnsiTheme="minorHAnsi"/>
          <w:sz w:val="24"/>
          <w:szCs w:val="24"/>
        </w:rPr>
        <w:tab/>
      </w:r>
      <w:r w:rsidR="007B2C8D" w:rsidRPr="00EB17C6">
        <w:rPr>
          <w:rFonts w:asciiTheme="minorHAnsi" w:eastAsia="Calibri" w:hAnsiTheme="minorHAnsi" w:cs="Calibri"/>
          <w:sz w:val="24"/>
          <w:szCs w:val="24"/>
        </w:rPr>
        <w:t xml:space="preserve">Investigators assessed the relation of childhood sexual abuse (CSA), intimate partner violence (IPV), and depression to HIV sexual risk behaviors among Black men who have sex with men (MSM). Participants were 1522 Black MSM recruited from 6 US cities between July 2009 and December 2011. Univariate and multivariable logistic regression models were used. Results. Participants reported sex before age 12 years with someone at least 5 years older (31.1%), unwanted sex when aged 12 to 16 years (30%), IPV (51.8%), and depression (43.8%). Experiencing CSA when aged 12 to 16 years was inversely associated with any receptive </w:t>
      </w:r>
      <w:proofErr w:type="spellStart"/>
      <w:r w:rsidR="007B2C8D" w:rsidRPr="00EB17C6">
        <w:rPr>
          <w:rFonts w:asciiTheme="minorHAnsi" w:eastAsia="Calibri" w:hAnsiTheme="minorHAnsi" w:cs="Calibri"/>
          <w:sz w:val="24"/>
          <w:szCs w:val="24"/>
        </w:rPr>
        <w:t>condomless</w:t>
      </w:r>
      <w:proofErr w:type="spellEnd"/>
      <w:r w:rsidR="007B2C8D" w:rsidRPr="00EB17C6">
        <w:rPr>
          <w:rFonts w:asciiTheme="minorHAnsi" w:eastAsia="Calibri" w:hAnsiTheme="minorHAnsi" w:cs="Calibri"/>
          <w:sz w:val="24"/>
          <w:szCs w:val="24"/>
        </w:rPr>
        <w:t xml:space="preserve"> anal sex with a male partner (adjusted odds ratio [AOR] = 0.50; 95% confidence interval [CI] = 0.29, 0.86). Pressured or forced sex was positively associated with any receptive anal sex (AOR = 2.24; 95% CI = 1.57, 3.20). Experiencing CSA when younger than 12 years, physical abuse, emotional abuse, having been stalked, and pressured or forced sex were positively associated with having more than 3 male partners in the past 6 months. Among HIV-positive MSM (n = 337), CSA between ages 12 and 16 years was positively associated with having more than 3 male partners in the past 6 months. Conclusions. Rates of CSA, IPV, and depression were high, but associations with HIV sexual risk outcomes were modest.</w:t>
      </w:r>
    </w:p>
    <w:p w14:paraId="2305FAC8" w14:textId="40F3C9D7" w:rsidR="003E656A" w:rsidRPr="00EB17C6" w:rsidRDefault="00EB17C6" w:rsidP="003F7762">
      <w:pPr>
        <w:ind w:left="820" w:right="257" w:hanging="360"/>
        <w:rPr>
          <w:rFonts w:asciiTheme="minorHAnsi" w:eastAsia="Calibri" w:hAnsiTheme="minorHAnsi" w:cs="Calibri"/>
          <w:sz w:val="24"/>
          <w:szCs w:val="24"/>
        </w:rPr>
      </w:pPr>
      <w:r w:rsidRPr="00B3220B">
        <w:rPr>
          <w:rFonts w:asciiTheme="minorHAnsi" w:eastAsia="Calibri" w:hAnsiTheme="minorHAnsi" w:cs="Calibri"/>
          <w:spacing w:val="1"/>
          <w:sz w:val="24"/>
          <w:szCs w:val="24"/>
        </w:rPr>
        <w:t>7</w:t>
      </w:r>
      <w:r w:rsidR="003E656A" w:rsidRPr="00B3220B">
        <w:rPr>
          <w:rFonts w:asciiTheme="minorHAnsi" w:eastAsia="Calibri" w:hAnsiTheme="minorHAnsi" w:cs="Calibri"/>
          <w:sz w:val="24"/>
          <w:szCs w:val="24"/>
        </w:rPr>
        <w:t xml:space="preserve">.  </w:t>
      </w:r>
      <w:r w:rsidR="003E656A" w:rsidRPr="00B3220B">
        <w:rPr>
          <w:rFonts w:asciiTheme="minorHAnsi" w:eastAsia="Calibri" w:hAnsiTheme="minorHAnsi" w:cs="Calibri"/>
          <w:spacing w:val="15"/>
          <w:sz w:val="24"/>
          <w:szCs w:val="24"/>
        </w:rPr>
        <w:t xml:space="preserve"> </w:t>
      </w:r>
      <w:r w:rsidR="003F7762" w:rsidRPr="00B3220B">
        <w:rPr>
          <w:rFonts w:asciiTheme="minorHAnsi" w:eastAsia="Calibri" w:hAnsiTheme="minorHAnsi" w:cs="Calibri"/>
          <w:sz w:val="24"/>
          <w:szCs w:val="24"/>
        </w:rPr>
        <w:t>G</w:t>
      </w:r>
      <w:r w:rsidR="00CA5C00" w:rsidRPr="00B3220B">
        <w:rPr>
          <w:rFonts w:asciiTheme="minorHAnsi" w:eastAsia="Calibri" w:hAnsiTheme="minorHAnsi" w:cs="Calibri"/>
          <w:sz w:val="24"/>
          <w:szCs w:val="24"/>
        </w:rPr>
        <w:t>arland P.M., Valverde E.E., Fagan J., Beer, L.,</w:t>
      </w:r>
      <w:r w:rsidR="003F7762" w:rsidRPr="00B3220B">
        <w:rPr>
          <w:rFonts w:asciiTheme="minorHAnsi" w:eastAsia="Calibri" w:hAnsiTheme="minorHAnsi" w:cs="Calibri"/>
          <w:sz w:val="24"/>
          <w:szCs w:val="24"/>
        </w:rPr>
        <w:t xml:space="preserve"> et al. </w:t>
      </w:r>
      <w:r w:rsidR="003F7762" w:rsidRPr="00EB17C6">
        <w:rPr>
          <w:rFonts w:asciiTheme="minorHAnsi" w:eastAsia="Calibri" w:hAnsiTheme="minorHAnsi" w:cs="Calibri"/>
          <w:sz w:val="24"/>
          <w:szCs w:val="24"/>
        </w:rPr>
        <w:t xml:space="preserve">(2011). HIV counseling, testing and referral experiences of persons diagnosed with HIV who have never entered HIV medical care. </w:t>
      </w:r>
      <w:r w:rsidR="003F7762" w:rsidRPr="00EB17C6">
        <w:rPr>
          <w:rFonts w:asciiTheme="minorHAnsi" w:eastAsia="Calibri" w:hAnsiTheme="minorHAnsi" w:cs="Calibri"/>
          <w:i/>
          <w:sz w:val="24"/>
          <w:szCs w:val="24"/>
        </w:rPr>
        <w:t>AIDS Educ Prev.</w:t>
      </w:r>
      <w:r w:rsidR="003F7762" w:rsidRPr="00EB17C6">
        <w:rPr>
          <w:rFonts w:asciiTheme="minorHAnsi" w:eastAsia="Calibri" w:hAnsiTheme="minorHAnsi" w:cs="Calibri"/>
          <w:sz w:val="24"/>
          <w:szCs w:val="24"/>
        </w:rPr>
        <w:t xml:space="preserve"> </w:t>
      </w:r>
      <w:r w:rsidR="003F7762" w:rsidRPr="00EB17C6">
        <w:rPr>
          <w:rFonts w:asciiTheme="minorHAnsi" w:eastAsia="Calibri" w:hAnsiTheme="minorHAnsi" w:cs="Calibri"/>
          <w:i/>
          <w:sz w:val="24"/>
          <w:szCs w:val="24"/>
        </w:rPr>
        <w:t>23</w:t>
      </w:r>
      <w:r w:rsidR="00257D91">
        <w:rPr>
          <w:rFonts w:asciiTheme="minorHAnsi" w:eastAsia="Calibri" w:hAnsiTheme="minorHAnsi" w:cs="Calibri"/>
          <w:sz w:val="24"/>
          <w:szCs w:val="24"/>
        </w:rPr>
        <w:t>(</w:t>
      </w:r>
      <w:r w:rsidR="00CA5C00">
        <w:rPr>
          <w:rFonts w:asciiTheme="minorHAnsi" w:eastAsia="Calibri" w:hAnsiTheme="minorHAnsi" w:cs="Calibri"/>
          <w:sz w:val="24"/>
          <w:szCs w:val="24"/>
        </w:rPr>
        <w:t>Suppl</w:t>
      </w:r>
      <w:r w:rsidR="00257D91">
        <w:rPr>
          <w:rFonts w:asciiTheme="minorHAnsi" w:eastAsia="Calibri" w:hAnsiTheme="minorHAnsi" w:cs="Calibri"/>
          <w:sz w:val="24"/>
          <w:szCs w:val="24"/>
        </w:rPr>
        <w:t xml:space="preserve"> 3</w:t>
      </w:r>
      <w:r w:rsidR="00CA5C00">
        <w:rPr>
          <w:rFonts w:asciiTheme="minorHAnsi" w:eastAsia="Calibri" w:hAnsiTheme="minorHAnsi" w:cs="Calibri"/>
          <w:sz w:val="24"/>
          <w:szCs w:val="24"/>
        </w:rPr>
        <w:t>),</w:t>
      </w:r>
      <w:r w:rsidR="003F7762" w:rsidRPr="00EB17C6">
        <w:rPr>
          <w:rFonts w:asciiTheme="minorHAnsi" w:eastAsia="Calibri" w:hAnsiTheme="minorHAnsi" w:cs="Calibri"/>
          <w:sz w:val="24"/>
          <w:szCs w:val="24"/>
        </w:rPr>
        <w:t xml:space="preserve"> 117-127. DOI: </w:t>
      </w:r>
      <w:hyperlink r:id="rId12" w:history="1">
        <w:r w:rsidR="003F7762" w:rsidRPr="00EB17C6">
          <w:rPr>
            <w:rStyle w:val="Hyperlink"/>
            <w:rFonts w:asciiTheme="minorHAnsi" w:eastAsia="Calibri" w:hAnsiTheme="minorHAnsi" w:cs="Calibri"/>
            <w:color w:val="auto"/>
            <w:sz w:val="24"/>
            <w:szCs w:val="24"/>
          </w:rPr>
          <w:t>10.1521/aeap.2011.23.3_supp.117</w:t>
        </w:r>
      </w:hyperlink>
    </w:p>
    <w:p w14:paraId="3772918B" w14:textId="77777777" w:rsidR="003E656A" w:rsidRPr="00EB17C6" w:rsidRDefault="003E656A" w:rsidP="00EB17C6">
      <w:pPr>
        <w:tabs>
          <w:tab w:val="left" w:pos="1540"/>
        </w:tabs>
        <w:spacing w:before="3" w:line="280" w:lineRule="exact"/>
        <w:ind w:left="1540" w:right="112" w:hanging="360"/>
        <w:jc w:val="both"/>
        <w:rPr>
          <w:rFonts w:asciiTheme="minorHAnsi" w:eastAsia="Calibri" w:hAnsiTheme="minorHAnsi" w:cs="Calibri"/>
          <w:sz w:val="24"/>
          <w:szCs w:val="24"/>
        </w:rPr>
      </w:pPr>
      <w:r w:rsidRPr="00EB17C6">
        <w:rPr>
          <w:rFonts w:asciiTheme="minorHAnsi" w:hAnsiTheme="minorHAnsi"/>
          <w:sz w:val="24"/>
          <w:szCs w:val="24"/>
        </w:rPr>
        <w:tab/>
      </w:r>
      <w:r w:rsidR="003F7762" w:rsidRPr="00EB17C6">
        <w:rPr>
          <w:rFonts w:asciiTheme="minorHAnsi" w:eastAsia="Calibri" w:hAnsiTheme="minorHAnsi" w:cs="Calibri"/>
          <w:sz w:val="24"/>
          <w:szCs w:val="24"/>
        </w:rPr>
        <w:t xml:space="preserve">The HIV counseling, testing, and referral (CTR) encounter represents an important opportunity to actively facilitate entry into medical care for those who test positive for HIV, but its potential is not always realized. Ways to improve facilitation of linkage to care through the CTR encounter haven't been explored among HIV-infected persons who have not entered care. Study investigators conducted 42 structured and qualitative interviews among HIV-infected persons, diagnosed 5-19 months previously, in Indiana, Philadelphia and Washington State, who had not received HIV medical care. Respondents related individual and system-level </w:t>
      </w:r>
      <w:r w:rsidR="003F7762" w:rsidRPr="00EB17C6">
        <w:rPr>
          <w:rFonts w:asciiTheme="minorHAnsi" w:eastAsia="Calibri" w:hAnsiTheme="minorHAnsi" w:cs="Calibri"/>
          <w:sz w:val="24"/>
          <w:szCs w:val="24"/>
        </w:rPr>
        <w:lastRenderedPageBreak/>
        <w:t>barriers, as well as recommendations for improving the effectiveness of CTR as a facilitator of linkage to HIV medical care through more active referrals, and for strengthening the bridge between CTR and linkage to care services. Their findings suggest that standards for active case referral by CTR staff and integration of CTR and linkage to care services are needed.</w:t>
      </w:r>
      <w:r w:rsidRPr="00EB17C6">
        <w:rPr>
          <w:rFonts w:asciiTheme="minorHAnsi" w:eastAsia="Calibri" w:hAnsiTheme="minorHAnsi" w:cs="Calibri"/>
          <w:sz w:val="24"/>
          <w:szCs w:val="24"/>
        </w:rPr>
        <w:t> </w:t>
      </w:r>
    </w:p>
    <w:p w14:paraId="41464588" w14:textId="5C7B1CB7" w:rsidR="003E656A" w:rsidRPr="00EB17C6" w:rsidRDefault="00EB17C6" w:rsidP="003F7762">
      <w:pPr>
        <w:ind w:left="820" w:right="257" w:hanging="360"/>
        <w:rPr>
          <w:rFonts w:asciiTheme="minorHAnsi" w:eastAsia="Calibri" w:hAnsiTheme="minorHAnsi" w:cs="Calibri"/>
          <w:sz w:val="24"/>
          <w:szCs w:val="24"/>
        </w:rPr>
      </w:pPr>
      <w:r>
        <w:rPr>
          <w:rFonts w:asciiTheme="minorHAnsi" w:eastAsia="Calibri" w:hAnsiTheme="minorHAnsi" w:cs="Calibri"/>
          <w:spacing w:val="1"/>
          <w:sz w:val="24"/>
          <w:szCs w:val="24"/>
        </w:rPr>
        <w:t>8</w:t>
      </w:r>
      <w:r w:rsidR="003E656A" w:rsidRPr="00EB17C6">
        <w:rPr>
          <w:rFonts w:asciiTheme="minorHAnsi" w:eastAsia="Calibri" w:hAnsiTheme="minorHAnsi" w:cs="Calibri"/>
          <w:sz w:val="24"/>
          <w:szCs w:val="24"/>
        </w:rPr>
        <w:t xml:space="preserve">.  </w:t>
      </w:r>
      <w:r w:rsidR="003E656A" w:rsidRPr="00EB17C6">
        <w:rPr>
          <w:rFonts w:asciiTheme="minorHAnsi" w:eastAsia="Calibri" w:hAnsiTheme="minorHAnsi" w:cs="Calibri"/>
          <w:spacing w:val="15"/>
          <w:sz w:val="24"/>
          <w:szCs w:val="24"/>
        </w:rPr>
        <w:t xml:space="preserve"> </w:t>
      </w:r>
      <w:proofErr w:type="spellStart"/>
      <w:r w:rsidR="003F7762" w:rsidRPr="00EB17C6">
        <w:rPr>
          <w:rFonts w:asciiTheme="minorHAnsi" w:eastAsia="Calibri" w:hAnsiTheme="minorHAnsi" w:cs="Calibri"/>
          <w:sz w:val="24"/>
          <w:szCs w:val="24"/>
        </w:rPr>
        <w:t>Christopoulos</w:t>
      </w:r>
      <w:proofErr w:type="spellEnd"/>
      <w:r w:rsidR="003F7762" w:rsidRPr="00EB17C6">
        <w:rPr>
          <w:rFonts w:asciiTheme="minorHAnsi" w:eastAsia="Calibri" w:hAnsiTheme="minorHAnsi" w:cs="Calibri"/>
          <w:sz w:val="24"/>
          <w:szCs w:val="24"/>
        </w:rPr>
        <w:t>, Katerina, Das, M</w:t>
      </w:r>
      <w:r w:rsidR="00AD22A7">
        <w:rPr>
          <w:rFonts w:asciiTheme="minorHAnsi" w:eastAsia="Calibri" w:hAnsiTheme="minorHAnsi" w:cs="Calibri"/>
          <w:sz w:val="24"/>
          <w:szCs w:val="24"/>
        </w:rPr>
        <w:t>.</w:t>
      </w:r>
      <w:r w:rsidR="003F7762" w:rsidRPr="00EB17C6">
        <w:rPr>
          <w:rFonts w:asciiTheme="minorHAnsi" w:eastAsia="Calibri" w:hAnsiTheme="minorHAnsi" w:cs="Calibri"/>
          <w:sz w:val="24"/>
          <w:szCs w:val="24"/>
        </w:rPr>
        <w:t xml:space="preserve">, &amp; Colfax, G.N. (2011).  Linkage and Retention in HIV care among Men Who Have Sex with Men in the United States. </w:t>
      </w:r>
      <w:r w:rsidR="003F7762" w:rsidRPr="00EB17C6">
        <w:rPr>
          <w:rFonts w:asciiTheme="minorHAnsi" w:eastAsia="Calibri" w:hAnsiTheme="minorHAnsi" w:cs="Calibri"/>
          <w:i/>
          <w:sz w:val="24"/>
          <w:szCs w:val="24"/>
        </w:rPr>
        <w:t>Clinical Infectious Diseases</w:t>
      </w:r>
      <w:r w:rsidR="003F7762" w:rsidRPr="00EB17C6">
        <w:rPr>
          <w:rFonts w:asciiTheme="minorHAnsi" w:eastAsia="Calibri" w:hAnsiTheme="minorHAnsi" w:cs="Calibri"/>
          <w:sz w:val="24"/>
          <w:szCs w:val="24"/>
        </w:rPr>
        <w:t xml:space="preserve">. </w:t>
      </w:r>
      <w:r w:rsidR="003F7762" w:rsidRPr="00EB17C6">
        <w:rPr>
          <w:rFonts w:asciiTheme="minorHAnsi" w:eastAsia="Calibri" w:hAnsiTheme="minorHAnsi" w:cs="Calibri"/>
          <w:i/>
          <w:sz w:val="24"/>
          <w:szCs w:val="24"/>
        </w:rPr>
        <w:t>52</w:t>
      </w:r>
      <w:r w:rsidR="004374F5">
        <w:rPr>
          <w:rFonts w:asciiTheme="minorHAnsi" w:eastAsia="Calibri" w:hAnsiTheme="minorHAnsi" w:cs="Calibri"/>
          <w:sz w:val="24"/>
          <w:szCs w:val="24"/>
        </w:rPr>
        <w:t>(</w:t>
      </w:r>
      <w:r w:rsidR="003F7762" w:rsidRPr="00EB17C6">
        <w:rPr>
          <w:rFonts w:asciiTheme="minorHAnsi" w:eastAsia="Calibri" w:hAnsiTheme="minorHAnsi" w:cs="Calibri"/>
          <w:sz w:val="24"/>
          <w:szCs w:val="24"/>
        </w:rPr>
        <w:t>Suppl 2):S214. DOI: 10.1093/</w:t>
      </w:r>
      <w:proofErr w:type="spellStart"/>
      <w:r w:rsidR="003F7762" w:rsidRPr="00EB17C6">
        <w:rPr>
          <w:rFonts w:asciiTheme="minorHAnsi" w:eastAsia="Calibri" w:hAnsiTheme="minorHAnsi" w:cs="Calibri"/>
          <w:sz w:val="24"/>
          <w:szCs w:val="24"/>
        </w:rPr>
        <w:t>cid</w:t>
      </w:r>
      <w:proofErr w:type="spellEnd"/>
      <w:r w:rsidR="003F7762" w:rsidRPr="00EB17C6">
        <w:rPr>
          <w:rFonts w:asciiTheme="minorHAnsi" w:eastAsia="Calibri" w:hAnsiTheme="minorHAnsi" w:cs="Calibri"/>
          <w:sz w:val="24"/>
          <w:szCs w:val="24"/>
        </w:rPr>
        <w:t>/ciq045</w:t>
      </w:r>
    </w:p>
    <w:p w14:paraId="3FE6498C" w14:textId="77777777" w:rsidR="003E656A" w:rsidRPr="00EB17C6" w:rsidRDefault="003E656A" w:rsidP="00EB17C6">
      <w:pPr>
        <w:tabs>
          <w:tab w:val="left" w:pos="1540"/>
        </w:tabs>
        <w:spacing w:before="3" w:line="280" w:lineRule="exact"/>
        <w:ind w:left="1540" w:right="112" w:hanging="360"/>
        <w:jc w:val="both"/>
        <w:rPr>
          <w:rFonts w:asciiTheme="minorHAnsi" w:eastAsia="Calibri" w:hAnsiTheme="minorHAnsi" w:cs="Calibri"/>
          <w:sz w:val="24"/>
          <w:szCs w:val="24"/>
        </w:rPr>
      </w:pPr>
      <w:r w:rsidRPr="00EB17C6">
        <w:rPr>
          <w:rFonts w:asciiTheme="minorHAnsi" w:hAnsiTheme="minorHAnsi"/>
          <w:sz w:val="24"/>
          <w:szCs w:val="24"/>
        </w:rPr>
        <w:tab/>
      </w:r>
      <w:r w:rsidR="003F7762" w:rsidRPr="00EB17C6">
        <w:rPr>
          <w:rFonts w:asciiTheme="minorHAnsi" w:eastAsia="Calibri" w:hAnsiTheme="minorHAnsi" w:cs="Calibri"/>
          <w:sz w:val="24"/>
          <w:szCs w:val="24"/>
        </w:rPr>
        <w:t xml:space="preserve">Men who have sex with men (MSM) continue to be disproportionately affected by human immunodeficiency virus (HIV) infection. While the MSM population does better than other HIV infection risk groups with regard to linkage to and retention in care, little is known about engagement in care outcomes for important subpopulations of MSM. There is also a dearth of research on engagement in care strategies specific to the MSM population. Key MSM subpopulations in the United States on which to focus future research efforts include racial/ethnic minority, young, and </w:t>
      </w:r>
      <w:proofErr w:type="gramStart"/>
      <w:r w:rsidR="003F7762" w:rsidRPr="00EB17C6">
        <w:rPr>
          <w:rFonts w:asciiTheme="minorHAnsi" w:eastAsia="Calibri" w:hAnsiTheme="minorHAnsi" w:cs="Calibri"/>
          <w:sz w:val="24"/>
          <w:szCs w:val="24"/>
        </w:rPr>
        <w:t>substance-using</w:t>
      </w:r>
      <w:proofErr w:type="gramEnd"/>
      <w:r w:rsidR="003F7762" w:rsidRPr="00EB17C6">
        <w:rPr>
          <w:rFonts w:asciiTheme="minorHAnsi" w:eastAsia="Calibri" w:hAnsiTheme="minorHAnsi" w:cs="Calibri"/>
          <w:sz w:val="24"/>
          <w:szCs w:val="24"/>
        </w:rPr>
        <w:t xml:space="preserve"> MSM. Health care systems navigation may offer a promising engagement in care strategy for MSM and should be further evaluated. As is the case for HIV-infected populations in general, future research should also focus on identifying the best metrics for measuring engagement in care.</w:t>
      </w:r>
    </w:p>
    <w:p w14:paraId="00A06338" w14:textId="76DFDCF4" w:rsidR="003F7762" w:rsidRPr="00EB17C6" w:rsidRDefault="00EB17C6" w:rsidP="003F7762">
      <w:pPr>
        <w:ind w:left="820" w:right="257" w:hanging="360"/>
        <w:rPr>
          <w:rFonts w:asciiTheme="minorHAnsi" w:eastAsia="Calibri" w:hAnsiTheme="minorHAnsi" w:cs="Calibri"/>
          <w:sz w:val="24"/>
          <w:szCs w:val="24"/>
        </w:rPr>
      </w:pPr>
      <w:r>
        <w:rPr>
          <w:rFonts w:asciiTheme="minorHAnsi" w:eastAsia="Calibri" w:hAnsiTheme="minorHAnsi" w:cs="Calibri"/>
          <w:spacing w:val="1"/>
          <w:sz w:val="24"/>
          <w:szCs w:val="24"/>
        </w:rPr>
        <w:t>9</w:t>
      </w:r>
      <w:r w:rsidR="003F7762" w:rsidRPr="00EB17C6">
        <w:rPr>
          <w:rFonts w:asciiTheme="minorHAnsi" w:eastAsia="Calibri" w:hAnsiTheme="minorHAnsi" w:cs="Calibri"/>
          <w:sz w:val="24"/>
          <w:szCs w:val="24"/>
        </w:rPr>
        <w:t xml:space="preserve">.  </w:t>
      </w:r>
      <w:r w:rsidR="003F7762" w:rsidRPr="00EB17C6">
        <w:rPr>
          <w:rFonts w:asciiTheme="minorHAnsi" w:eastAsia="Calibri" w:hAnsiTheme="minorHAnsi" w:cs="Calibri"/>
          <w:spacing w:val="15"/>
          <w:sz w:val="24"/>
          <w:szCs w:val="24"/>
        </w:rPr>
        <w:t xml:space="preserve"> </w:t>
      </w:r>
      <w:r w:rsidR="003F7762" w:rsidRPr="00EB17C6">
        <w:rPr>
          <w:rFonts w:asciiTheme="minorHAnsi" w:eastAsia="Calibri" w:hAnsiTheme="minorHAnsi" w:cs="Calibri"/>
          <w:sz w:val="24"/>
          <w:szCs w:val="24"/>
        </w:rPr>
        <w:t>Magnus M</w:t>
      </w:r>
      <w:r w:rsidR="00AD22A7">
        <w:rPr>
          <w:rFonts w:asciiTheme="minorHAnsi" w:eastAsia="Calibri" w:hAnsiTheme="minorHAnsi" w:cs="Calibri"/>
          <w:sz w:val="24"/>
          <w:szCs w:val="24"/>
        </w:rPr>
        <w:t>.</w:t>
      </w:r>
      <w:r w:rsidR="003F7762" w:rsidRPr="00EB17C6">
        <w:rPr>
          <w:rFonts w:asciiTheme="minorHAnsi" w:eastAsia="Calibri" w:hAnsiTheme="minorHAnsi" w:cs="Calibri"/>
          <w:sz w:val="24"/>
          <w:szCs w:val="24"/>
        </w:rPr>
        <w:t>, Jones, K</w:t>
      </w:r>
      <w:r w:rsidR="00AD22A7">
        <w:rPr>
          <w:rFonts w:asciiTheme="minorHAnsi" w:eastAsia="Calibri" w:hAnsiTheme="minorHAnsi" w:cs="Calibri"/>
          <w:sz w:val="24"/>
          <w:szCs w:val="24"/>
        </w:rPr>
        <w:t>.</w:t>
      </w:r>
      <w:r w:rsidR="003F7762" w:rsidRPr="00EB17C6">
        <w:rPr>
          <w:rFonts w:asciiTheme="minorHAnsi" w:eastAsia="Calibri" w:hAnsiTheme="minorHAnsi" w:cs="Calibri"/>
          <w:sz w:val="24"/>
          <w:szCs w:val="24"/>
        </w:rPr>
        <w:t>, Phillips, G</w:t>
      </w:r>
      <w:r w:rsidR="00AD22A7">
        <w:rPr>
          <w:rFonts w:asciiTheme="minorHAnsi" w:eastAsia="Calibri" w:hAnsiTheme="minorHAnsi" w:cs="Calibri"/>
          <w:sz w:val="24"/>
          <w:szCs w:val="24"/>
        </w:rPr>
        <w:t xml:space="preserve"> 2nd, </w:t>
      </w:r>
      <w:proofErr w:type="spellStart"/>
      <w:r w:rsidR="00AD22A7">
        <w:rPr>
          <w:rFonts w:asciiTheme="minorHAnsi" w:eastAsia="Calibri" w:hAnsiTheme="minorHAnsi" w:cs="Calibri"/>
          <w:sz w:val="24"/>
          <w:szCs w:val="24"/>
        </w:rPr>
        <w:t>Binson</w:t>
      </w:r>
      <w:proofErr w:type="spellEnd"/>
      <w:r w:rsidR="00AD22A7">
        <w:rPr>
          <w:rFonts w:asciiTheme="minorHAnsi" w:eastAsia="Calibri" w:hAnsiTheme="minorHAnsi" w:cs="Calibri"/>
          <w:sz w:val="24"/>
          <w:szCs w:val="24"/>
        </w:rPr>
        <w:t>, D.,</w:t>
      </w:r>
      <w:r w:rsidR="003F7762" w:rsidRPr="00EB17C6">
        <w:rPr>
          <w:rFonts w:asciiTheme="minorHAnsi" w:eastAsia="Calibri" w:hAnsiTheme="minorHAnsi" w:cs="Calibri"/>
          <w:sz w:val="24"/>
          <w:szCs w:val="24"/>
        </w:rPr>
        <w:t xml:space="preserve"> et al. (2010). Characteristics associated with retention among </w:t>
      </w:r>
      <w:proofErr w:type="gramStart"/>
      <w:r w:rsidR="003F7762" w:rsidRPr="00EB17C6">
        <w:rPr>
          <w:rFonts w:asciiTheme="minorHAnsi" w:eastAsia="Calibri" w:hAnsiTheme="minorHAnsi" w:cs="Calibri"/>
          <w:sz w:val="24"/>
          <w:szCs w:val="24"/>
        </w:rPr>
        <w:t>African-American</w:t>
      </w:r>
      <w:proofErr w:type="gramEnd"/>
      <w:r w:rsidR="003F7762" w:rsidRPr="00EB17C6">
        <w:rPr>
          <w:rFonts w:asciiTheme="minorHAnsi" w:eastAsia="Calibri" w:hAnsiTheme="minorHAnsi" w:cs="Calibri"/>
          <w:sz w:val="24"/>
          <w:szCs w:val="24"/>
        </w:rPr>
        <w:t xml:space="preserve"> and Latino adolescent HIV-positive men: results from the outreach, care and prevention to engage HIV-positive young MSM of color special project of national significance initiative. </w:t>
      </w:r>
      <w:r w:rsidR="003F7762" w:rsidRPr="00EB17C6">
        <w:rPr>
          <w:rFonts w:asciiTheme="minorHAnsi" w:eastAsia="Calibri" w:hAnsiTheme="minorHAnsi" w:cs="Calibri"/>
          <w:i/>
          <w:sz w:val="24"/>
          <w:szCs w:val="24"/>
        </w:rPr>
        <w:t>Journal of Acquir</w:t>
      </w:r>
      <w:r w:rsidR="00D20FDE" w:rsidRPr="00EB17C6">
        <w:rPr>
          <w:rFonts w:asciiTheme="minorHAnsi" w:eastAsia="Calibri" w:hAnsiTheme="minorHAnsi" w:cs="Calibri"/>
          <w:i/>
          <w:sz w:val="24"/>
          <w:szCs w:val="24"/>
        </w:rPr>
        <w:t>ed Immune D</w:t>
      </w:r>
      <w:r w:rsidR="003F7762" w:rsidRPr="00EB17C6">
        <w:rPr>
          <w:rFonts w:asciiTheme="minorHAnsi" w:eastAsia="Calibri" w:hAnsiTheme="minorHAnsi" w:cs="Calibri"/>
          <w:i/>
          <w:sz w:val="24"/>
          <w:szCs w:val="24"/>
        </w:rPr>
        <w:t>eficiency Syndromes.</w:t>
      </w:r>
      <w:r w:rsidR="003F7762" w:rsidRPr="00EB17C6">
        <w:rPr>
          <w:rFonts w:asciiTheme="minorHAnsi" w:eastAsia="Calibri" w:hAnsiTheme="minorHAnsi" w:cs="Calibri"/>
          <w:sz w:val="24"/>
          <w:szCs w:val="24"/>
        </w:rPr>
        <w:t xml:space="preserve"> </w:t>
      </w:r>
      <w:r w:rsidR="003F7762" w:rsidRPr="00EB17C6">
        <w:rPr>
          <w:rFonts w:asciiTheme="minorHAnsi" w:eastAsia="Calibri" w:hAnsiTheme="minorHAnsi" w:cs="Calibri"/>
          <w:i/>
          <w:sz w:val="24"/>
          <w:szCs w:val="24"/>
        </w:rPr>
        <w:t>53</w:t>
      </w:r>
      <w:r w:rsidR="00AD22A7">
        <w:rPr>
          <w:rFonts w:asciiTheme="minorHAnsi" w:eastAsia="Calibri" w:hAnsiTheme="minorHAnsi" w:cs="Calibri"/>
          <w:sz w:val="24"/>
          <w:szCs w:val="24"/>
        </w:rPr>
        <w:t>(4),</w:t>
      </w:r>
      <w:r w:rsidR="003F7762" w:rsidRPr="00EB17C6">
        <w:rPr>
          <w:rFonts w:asciiTheme="minorHAnsi" w:eastAsia="Calibri" w:hAnsiTheme="minorHAnsi" w:cs="Calibri"/>
          <w:sz w:val="24"/>
          <w:szCs w:val="24"/>
        </w:rPr>
        <w:t xml:space="preserve"> 529-36. DOI: 10.1097/QAI.0b013e3181b56404</w:t>
      </w:r>
    </w:p>
    <w:p w14:paraId="240B0947" w14:textId="77777777" w:rsidR="003F7762" w:rsidRPr="00EB17C6" w:rsidRDefault="003F7762" w:rsidP="00EB17C6">
      <w:pPr>
        <w:ind w:left="1438" w:right="257"/>
        <w:jc w:val="both"/>
        <w:rPr>
          <w:rFonts w:asciiTheme="minorHAnsi" w:eastAsia="Calibri" w:hAnsiTheme="minorHAnsi" w:cs="Calibri"/>
          <w:sz w:val="24"/>
          <w:szCs w:val="24"/>
        </w:rPr>
      </w:pPr>
      <w:r w:rsidRPr="00EB17C6">
        <w:rPr>
          <w:rFonts w:asciiTheme="minorHAnsi" w:hAnsiTheme="minorHAnsi"/>
          <w:sz w:val="24"/>
          <w:szCs w:val="24"/>
        </w:rPr>
        <w:t>S</w:t>
      </w:r>
      <w:r w:rsidRPr="00EB17C6">
        <w:rPr>
          <w:rFonts w:asciiTheme="minorHAnsi" w:eastAsia="Calibri" w:hAnsiTheme="minorHAnsi" w:cs="Calibri"/>
          <w:sz w:val="24"/>
          <w:szCs w:val="24"/>
        </w:rPr>
        <w:t>urveillance points to an urgent public health need for HIV prevention, access, and retention among young men of color who have sex with men (YMSM). The purpose of this multisite study was to evaluate the association between organizational- and individual-level characteristics and retention in HIV care among HIV-positive YMSM of color.</w:t>
      </w:r>
      <w:r w:rsidR="00D20FDE" w:rsidRPr="00EB17C6">
        <w:rPr>
          <w:rFonts w:asciiTheme="minorHAnsi" w:eastAsia="Calibri" w:hAnsiTheme="minorHAnsi" w:cs="Calibri"/>
          <w:sz w:val="24"/>
          <w:szCs w:val="24"/>
        </w:rPr>
        <w:t xml:space="preserve"> </w:t>
      </w:r>
      <w:r w:rsidRPr="00EB17C6">
        <w:rPr>
          <w:rFonts w:asciiTheme="minorHAnsi" w:eastAsia="Calibri" w:hAnsiTheme="minorHAnsi" w:cs="Calibri"/>
          <w:sz w:val="24"/>
          <w:szCs w:val="24"/>
        </w:rPr>
        <w:t>Data were collected quarterly via face-to-face interviews and chart abstraction between June 2006 and September 2008. Participants were aged 16-24 years, enrolled at 1 of 8 participating youth-specific demonstration sites, and engaged or reengaged in HIV care within the last 30 days.</w:t>
      </w:r>
      <w:r w:rsidR="00EB17C6">
        <w:rPr>
          <w:rFonts w:asciiTheme="minorHAnsi" w:eastAsia="Calibri" w:hAnsiTheme="minorHAnsi" w:cs="Calibri"/>
          <w:sz w:val="24"/>
          <w:szCs w:val="24"/>
        </w:rPr>
        <w:t xml:space="preserve"> </w:t>
      </w:r>
      <w:r w:rsidRPr="00EB17C6">
        <w:rPr>
          <w:rFonts w:asciiTheme="minorHAnsi" w:eastAsia="Calibri" w:hAnsiTheme="minorHAnsi" w:cs="Calibri"/>
          <w:sz w:val="24"/>
          <w:szCs w:val="24"/>
        </w:rPr>
        <w:t>Generalized estimating equations were used to examine factors associated with missing research and care visits. Stata v.9.0se was used for analysis.</w:t>
      </w:r>
    </w:p>
    <w:p w14:paraId="566FA988" w14:textId="2B51D0B3" w:rsidR="00D20FDE" w:rsidRPr="00EB17C6" w:rsidRDefault="00EB17C6" w:rsidP="003F7762">
      <w:pPr>
        <w:ind w:left="820" w:right="257" w:hanging="360"/>
        <w:rPr>
          <w:rFonts w:asciiTheme="minorHAnsi" w:eastAsia="Calibri" w:hAnsiTheme="minorHAnsi" w:cs="Calibri"/>
          <w:sz w:val="24"/>
          <w:szCs w:val="24"/>
        </w:rPr>
      </w:pPr>
      <w:r>
        <w:rPr>
          <w:rFonts w:asciiTheme="minorHAnsi" w:eastAsia="Calibri" w:hAnsiTheme="minorHAnsi" w:cs="Calibri"/>
          <w:spacing w:val="1"/>
          <w:sz w:val="24"/>
          <w:szCs w:val="24"/>
        </w:rPr>
        <w:t>10</w:t>
      </w:r>
      <w:r w:rsidR="003F7762" w:rsidRPr="00EB17C6">
        <w:rPr>
          <w:rFonts w:asciiTheme="minorHAnsi" w:eastAsia="Calibri" w:hAnsiTheme="minorHAnsi" w:cs="Calibri"/>
          <w:sz w:val="24"/>
          <w:szCs w:val="24"/>
        </w:rPr>
        <w:t xml:space="preserve">.  </w:t>
      </w:r>
      <w:r w:rsidR="00D20FDE" w:rsidRPr="00EB17C6">
        <w:rPr>
          <w:rFonts w:asciiTheme="minorHAnsi" w:eastAsia="Calibri" w:hAnsiTheme="minorHAnsi" w:cs="Calibri"/>
          <w:sz w:val="24"/>
          <w:szCs w:val="24"/>
        </w:rPr>
        <w:t>Flickinger T</w:t>
      </w:r>
      <w:r w:rsidR="00AD22A7">
        <w:rPr>
          <w:rFonts w:asciiTheme="minorHAnsi" w:eastAsia="Calibri" w:hAnsiTheme="minorHAnsi" w:cs="Calibri"/>
          <w:sz w:val="24"/>
          <w:szCs w:val="24"/>
        </w:rPr>
        <w:t>.</w:t>
      </w:r>
      <w:r w:rsidR="00D20FDE" w:rsidRPr="00EB17C6">
        <w:rPr>
          <w:rFonts w:asciiTheme="minorHAnsi" w:eastAsia="Calibri" w:hAnsiTheme="minorHAnsi" w:cs="Calibri"/>
          <w:sz w:val="24"/>
          <w:szCs w:val="24"/>
        </w:rPr>
        <w:t>E</w:t>
      </w:r>
      <w:r w:rsidR="00AD22A7">
        <w:rPr>
          <w:rFonts w:asciiTheme="minorHAnsi" w:eastAsia="Calibri" w:hAnsiTheme="minorHAnsi" w:cs="Calibri"/>
          <w:sz w:val="24"/>
          <w:szCs w:val="24"/>
        </w:rPr>
        <w:t>.</w:t>
      </w:r>
      <w:r w:rsidR="00D20FDE" w:rsidRPr="00EB17C6">
        <w:rPr>
          <w:rFonts w:asciiTheme="minorHAnsi" w:eastAsia="Calibri" w:hAnsiTheme="minorHAnsi" w:cs="Calibri"/>
          <w:sz w:val="24"/>
          <w:szCs w:val="24"/>
        </w:rPr>
        <w:t xml:space="preserve">, </w:t>
      </w:r>
      <w:proofErr w:type="spellStart"/>
      <w:r w:rsidR="00D20FDE" w:rsidRPr="00EB17C6">
        <w:rPr>
          <w:rFonts w:asciiTheme="minorHAnsi" w:eastAsia="Calibri" w:hAnsiTheme="minorHAnsi" w:cs="Calibri"/>
          <w:sz w:val="24"/>
          <w:szCs w:val="24"/>
        </w:rPr>
        <w:t>Saha</w:t>
      </w:r>
      <w:proofErr w:type="spellEnd"/>
      <w:r w:rsidR="00D20FDE" w:rsidRPr="00EB17C6">
        <w:rPr>
          <w:rFonts w:asciiTheme="minorHAnsi" w:eastAsia="Calibri" w:hAnsiTheme="minorHAnsi" w:cs="Calibri"/>
          <w:sz w:val="24"/>
          <w:szCs w:val="24"/>
        </w:rPr>
        <w:t xml:space="preserve"> S</w:t>
      </w:r>
      <w:r w:rsidR="00AD22A7">
        <w:rPr>
          <w:rFonts w:asciiTheme="minorHAnsi" w:eastAsia="Calibri" w:hAnsiTheme="minorHAnsi" w:cs="Calibri"/>
          <w:sz w:val="24"/>
          <w:szCs w:val="24"/>
        </w:rPr>
        <w:t>.</w:t>
      </w:r>
      <w:r w:rsidR="00D20FDE" w:rsidRPr="00EB17C6">
        <w:rPr>
          <w:rFonts w:asciiTheme="minorHAnsi" w:eastAsia="Calibri" w:hAnsiTheme="minorHAnsi" w:cs="Calibri"/>
          <w:sz w:val="24"/>
          <w:szCs w:val="24"/>
        </w:rPr>
        <w:t>, Moore R</w:t>
      </w:r>
      <w:r w:rsidR="00AD22A7">
        <w:rPr>
          <w:rFonts w:asciiTheme="minorHAnsi" w:eastAsia="Calibri" w:hAnsiTheme="minorHAnsi" w:cs="Calibri"/>
          <w:sz w:val="24"/>
          <w:szCs w:val="24"/>
        </w:rPr>
        <w:t>.</w:t>
      </w:r>
      <w:r w:rsidR="00D20FDE" w:rsidRPr="00EB17C6">
        <w:rPr>
          <w:rFonts w:asciiTheme="minorHAnsi" w:eastAsia="Calibri" w:hAnsiTheme="minorHAnsi" w:cs="Calibri"/>
          <w:sz w:val="24"/>
          <w:szCs w:val="24"/>
        </w:rPr>
        <w:t>D</w:t>
      </w:r>
      <w:r w:rsidR="00AD22A7">
        <w:rPr>
          <w:rFonts w:asciiTheme="minorHAnsi" w:eastAsia="Calibri" w:hAnsiTheme="minorHAnsi" w:cs="Calibri"/>
          <w:sz w:val="24"/>
          <w:szCs w:val="24"/>
        </w:rPr>
        <w:t>.</w:t>
      </w:r>
      <w:r w:rsidR="00B3220B">
        <w:rPr>
          <w:rFonts w:asciiTheme="minorHAnsi" w:eastAsia="Calibri" w:hAnsiTheme="minorHAnsi" w:cs="Calibri"/>
          <w:sz w:val="24"/>
          <w:szCs w:val="24"/>
        </w:rPr>
        <w:t>,</w:t>
      </w:r>
      <w:r w:rsidR="00AD22A7">
        <w:rPr>
          <w:rFonts w:asciiTheme="minorHAnsi" w:eastAsia="Calibri" w:hAnsiTheme="minorHAnsi" w:cs="Calibri"/>
          <w:sz w:val="24"/>
          <w:szCs w:val="24"/>
        </w:rPr>
        <w:t xml:space="preserve"> &amp;</w:t>
      </w:r>
      <w:r w:rsidR="00D20FDE" w:rsidRPr="00EB17C6">
        <w:rPr>
          <w:rFonts w:asciiTheme="minorHAnsi" w:eastAsia="Calibri" w:hAnsiTheme="minorHAnsi" w:cs="Calibri"/>
          <w:sz w:val="24"/>
          <w:szCs w:val="24"/>
        </w:rPr>
        <w:t xml:space="preserve"> Beach M</w:t>
      </w:r>
      <w:r w:rsidR="00AD22A7">
        <w:rPr>
          <w:rFonts w:asciiTheme="minorHAnsi" w:eastAsia="Calibri" w:hAnsiTheme="minorHAnsi" w:cs="Calibri"/>
          <w:sz w:val="24"/>
          <w:szCs w:val="24"/>
        </w:rPr>
        <w:t>.</w:t>
      </w:r>
      <w:r w:rsidR="00D20FDE" w:rsidRPr="00EB17C6">
        <w:rPr>
          <w:rFonts w:asciiTheme="minorHAnsi" w:eastAsia="Calibri" w:hAnsiTheme="minorHAnsi" w:cs="Calibri"/>
          <w:sz w:val="24"/>
          <w:szCs w:val="24"/>
        </w:rPr>
        <w:t xml:space="preserve">C. (2013). Higher quality communication and relationships are associated with improved patient engagement in HIV care. </w:t>
      </w:r>
      <w:r w:rsidR="00D20FDE" w:rsidRPr="00EB17C6">
        <w:rPr>
          <w:rFonts w:asciiTheme="minorHAnsi" w:eastAsia="Calibri" w:hAnsiTheme="minorHAnsi" w:cs="Calibri"/>
          <w:i/>
          <w:sz w:val="24"/>
          <w:szCs w:val="24"/>
        </w:rPr>
        <w:t>Journal of Acquired Immune Deficiency Syndromes</w:t>
      </w:r>
      <w:r w:rsidR="00D20FDE" w:rsidRPr="00EB17C6">
        <w:rPr>
          <w:rFonts w:asciiTheme="minorHAnsi" w:eastAsia="Calibri" w:hAnsiTheme="minorHAnsi" w:cs="Calibri"/>
          <w:sz w:val="24"/>
          <w:szCs w:val="24"/>
        </w:rPr>
        <w:t xml:space="preserve">. </w:t>
      </w:r>
      <w:r w:rsidR="00D20FDE" w:rsidRPr="00EB17C6">
        <w:rPr>
          <w:rFonts w:asciiTheme="minorHAnsi" w:eastAsia="Calibri" w:hAnsiTheme="minorHAnsi" w:cs="Calibri"/>
          <w:i/>
          <w:sz w:val="24"/>
          <w:szCs w:val="24"/>
        </w:rPr>
        <w:t>63</w:t>
      </w:r>
      <w:r w:rsidR="00AD22A7">
        <w:rPr>
          <w:rFonts w:asciiTheme="minorHAnsi" w:eastAsia="Calibri" w:hAnsiTheme="minorHAnsi" w:cs="Calibri"/>
          <w:sz w:val="24"/>
          <w:szCs w:val="24"/>
        </w:rPr>
        <w:t xml:space="preserve">(3), </w:t>
      </w:r>
      <w:r w:rsidR="00D20FDE" w:rsidRPr="00EB17C6">
        <w:rPr>
          <w:rFonts w:asciiTheme="minorHAnsi" w:eastAsia="Calibri" w:hAnsiTheme="minorHAnsi" w:cs="Calibri"/>
          <w:sz w:val="24"/>
          <w:szCs w:val="24"/>
        </w:rPr>
        <w:t xml:space="preserve">362-366. </w:t>
      </w:r>
    </w:p>
    <w:p w14:paraId="14C7A95A" w14:textId="77777777" w:rsidR="003F7762" w:rsidRPr="00EB17C6" w:rsidRDefault="00D20FDE" w:rsidP="00D20FDE">
      <w:pPr>
        <w:ind w:left="820" w:right="257"/>
        <w:rPr>
          <w:rFonts w:asciiTheme="minorHAnsi" w:eastAsia="Calibri" w:hAnsiTheme="minorHAnsi" w:cs="Calibri"/>
          <w:sz w:val="24"/>
          <w:szCs w:val="24"/>
        </w:rPr>
      </w:pPr>
      <w:r w:rsidRPr="00EB17C6">
        <w:rPr>
          <w:rFonts w:asciiTheme="minorHAnsi" w:eastAsia="Calibri" w:hAnsiTheme="minorHAnsi" w:cs="Calibri"/>
          <w:sz w:val="24"/>
          <w:szCs w:val="24"/>
        </w:rPr>
        <w:t>DOI: 10.1097/QAI.0b013e318295b86a</w:t>
      </w:r>
    </w:p>
    <w:p w14:paraId="4AB8A2E2" w14:textId="77777777" w:rsidR="003F7762" w:rsidRPr="00AD22A7" w:rsidRDefault="003F7762" w:rsidP="00EB17C6">
      <w:pPr>
        <w:tabs>
          <w:tab w:val="left" w:pos="1540"/>
        </w:tabs>
        <w:spacing w:before="3" w:line="280" w:lineRule="exact"/>
        <w:ind w:left="1540" w:right="112" w:hanging="360"/>
        <w:jc w:val="both"/>
        <w:rPr>
          <w:rFonts w:asciiTheme="minorHAnsi" w:eastAsia="Calibri" w:hAnsiTheme="minorHAnsi" w:cs="Calibri"/>
          <w:sz w:val="24"/>
          <w:szCs w:val="24"/>
        </w:rPr>
      </w:pPr>
      <w:r w:rsidRPr="00EB17C6">
        <w:rPr>
          <w:rFonts w:asciiTheme="minorHAnsi" w:hAnsiTheme="minorHAnsi"/>
          <w:sz w:val="24"/>
          <w:szCs w:val="24"/>
        </w:rPr>
        <w:tab/>
      </w:r>
      <w:r w:rsidR="00D20FDE" w:rsidRPr="00EB17C6">
        <w:rPr>
          <w:rFonts w:asciiTheme="minorHAnsi" w:eastAsia="Calibri" w:hAnsiTheme="minorHAnsi" w:cs="Calibri"/>
          <w:sz w:val="24"/>
          <w:szCs w:val="24"/>
        </w:rPr>
        <w:t xml:space="preserve">Patient retention in HIV care may be influenced by patient-provider interactions. In an urban, academic HIV clinic, 1363 patients rated the quality of communication and relationships with their providers on 5 domains. Study investigators used linear regressions to investigate associations between these 5 domains and appointment adherence. In multivariate analysis, patients kept more appointments if providers treated them with dignity and respect, listened carefully to them, explained in ways they could understand, and knew them as persons. Being involved in decisions was not significantly associated with appointment adherence. </w:t>
      </w:r>
      <w:r w:rsidR="00D20FDE" w:rsidRPr="00AD22A7">
        <w:rPr>
          <w:rFonts w:asciiTheme="minorHAnsi" w:eastAsia="Calibri" w:hAnsiTheme="minorHAnsi" w:cs="Calibri"/>
          <w:sz w:val="24"/>
          <w:szCs w:val="24"/>
        </w:rPr>
        <w:t>Enhancing providers' skills in effective communication and relationship building may improve patient retention in HIV care.</w:t>
      </w:r>
    </w:p>
    <w:p w14:paraId="284D92FE" w14:textId="5689EF1F" w:rsidR="003F7762" w:rsidRPr="00AD22A7" w:rsidRDefault="00EB17C6" w:rsidP="003F7762">
      <w:pPr>
        <w:ind w:left="820" w:right="257" w:hanging="360"/>
        <w:rPr>
          <w:rFonts w:asciiTheme="minorHAnsi" w:eastAsia="Calibri" w:hAnsiTheme="minorHAnsi" w:cs="Calibri"/>
          <w:sz w:val="24"/>
          <w:szCs w:val="24"/>
        </w:rPr>
      </w:pPr>
      <w:r w:rsidRPr="00B3220B">
        <w:rPr>
          <w:rFonts w:asciiTheme="minorHAnsi" w:eastAsia="Calibri" w:hAnsiTheme="minorHAnsi" w:cs="Calibri"/>
          <w:spacing w:val="1"/>
          <w:sz w:val="24"/>
          <w:szCs w:val="24"/>
        </w:rPr>
        <w:t>11</w:t>
      </w:r>
      <w:r w:rsidRPr="00B3220B">
        <w:rPr>
          <w:rFonts w:asciiTheme="minorHAnsi" w:eastAsia="Calibri" w:hAnsiTheme="minorHAnsi" w:cs="Calibri"/>
          <w:sz w:val="24"/>
          <w:szCs w:val="24"/>
        </w:rPr>
        <w:t xml:space="preserve">. </w:t>
      </w:r>
      <w:proofErr w:type="spellStart"/>
      <w:r w:rsidR="00D20FDE" w:rsidRPr="00B3220B">
        <w:rPr>
          <w:rFonts w:asciiTheme="minorHAnsi" w:eastAsia="Calibri" w:hAnsiTheme="minorHAnsi" w:cs="Calibri"/>
          <w:sz w:val="24"/>
          <w:szCs w:val="24"/>
        </w:rPr>
        <w:t>Remien</w:t>
      </w:r>
      <w:proofErr w:type="spellEnd"/>
      <w:r w:rsidR="00D20FDE" w:rsidRPr="00B3220B">
        <w:rPr>
          <w:rFonts w:asciiTheme="minorHAnsi" w:eastAsia="Calibri" w:hAnsiTheme="minorHAnsi" w:cs="Calibri"/>
          <w:sz w:val="24"/>
          <w:szCs w:val="24"/>
        </w:rPr>
        <w:t xml:space="preserve"> R</w:t>
      </w:r>
      <w:r w:rsidR="00AD22A7" w:rsidRPr="00B3220B">
        <w:rPr>
          <w:rFonts w:asciiTheme="minorHAnsi" w:eastAsia="Calibri" w:hAnsiTheme="minorHAnsi" w:cs="Calibri"/>
          <w:sz w:val="24"/>
          <w:szCs w:val="24"/>
        </w:rPr>
        <w:t>.</w:t>
      </w:r>
      <w:r w:rsidR="00D20FDE" w:rsidRPr="00B3220B">
        <w:rPr>
          <w:rFonts w:asciiTheme="minorHAnsi" w:eastAsia="Calibri" w:hAnsiTheme="minorHAnsi" w:cs="Calibri"/>
          <w:sz w:val="24"/>
          <w:szCs w:val="24"/>
        </w:rPr>
        <w:t>H</w:t>
      </w:r>
      <w:r w:rsidR="00AD22A7" w:rsidRPr="00B3220B">
        <w:rPr>
          <w:rFonts w:asciiTheme="minorHAnsi" w:eastAsia="Calibri" w:hAnsiTheme="minorHAnsi" w:cs="Calibri"/>
          <w:sz w:val="24"/>
          <w:szCs w:val="24"/>
        </w:rPr>
        <w:t>.</w:t>
      </w:r>
      <w:r w:rsidR="00D20FDE" w:rsidRPr="00B3220B">
        <w:rPr>
          <w:rFonts w:asciiTheme="minorHAnsi" w:eastAsia="Calibri" w:hAnsiTheme="minorHAnsi" w:cs="Calibri"/>
          <w:sz w:val="24"/>
          <w:szCs w:val="24"/>
        </w:rPr>
        <w:t>, Bauman L</w:t>
      </w:r>
      <w:r w:rsidR="00AD22A7" w:rsidRPr="00B3220B">
        <w:rPr>
          <w:rFonts w:asciiTheme="minorHAnsi" w:eastAsia="Calibri" w:hAnsiTheme="minorHAnsi" w:cs="Calibri"/>
          <w:sz w:val="24"/>
          <w:szCs w:val="24"/>
        </w:rPr>
        <w:t>.</w:t>
      </w:r>
      <w:r w:rsidR="00D20FDE" w:rsidRPr="00B3220B">
        <w:rPr>
          <w:rFonts w:asciiTheme="minorHAnsi" w:eastAsia="Calibri" w:hAnsiTheme="minorHAnsi" w:cs="Calibri"/>
          <w:sz w:val="24"/>
          <w:szCs w:val="24"/>
        </w:rPr>
        <w:t>J</w:t>
      </w:r>
      <w:r w:rsidR="00AD22A7" w:rsidRPr="00B3220B">
        <w:rPr>
          <w:rFonts w:asciiTheme="minorHAnsi" w:eastAsia="Calibri" w:hAnsiTheme="minorHAnsi" w:cs="Calibri"/>
          <w:sz w:val="24"/>
          <w:szCs w:val="24"/>
        </w:rPr>
        <w:t>.</w:t>
      </w:r>
      <w:r w:rsidR="00D20FDE" w:rsidRPr="00B3220B">
        <w:rPr>
          <w:rFonts w:asciiTheme="minorHAnsi" w:eastAsia="Calibri" w:hAnsiTheme="minorHAnsi" w:cs="Calibri"/>
          <w:sz w:val="24"/>
          <w:szCs w:val="24"/>
        </w:rPr>
        <w:t xml:space="preserve">, </w:t>
      </w:r>
      <w:proofErr w:type="spellStart"/>
      <w:r w:rsidR="00D20FDE" w:rsidRPr="00B3220B">
        <w:rPr>
          <w:rFonts w:asciiTheme="minorHAnsi" w:eastAsia="Calibri" w:hAnsiTheme="minorHAnsi" w:cs="Calibri"/>
          <w:sz w:val="24"/>
          <w:szCs w:val="24"/>
        </w:rPr>
        <w:t>Mantell</w:t>
      </w:r>
      <w:proofErr w:type="spellEnd"/>
      <w:r w:rsidR="00D20FDE" w:rsidRPr="00B3220B">
        <w:rPr>
          <w:rFonts w:asciiTheme="minorHAnsi" w:eastAsia="Calibri" w:hAnsiTheme="minorHAnsi" w:cs="Calibri"/>
          <w:sz w:val="24"/>
          <w:szCs w:val="24"/>
        </w:rPr>
        <w:t xml:space="preserve"> J</w:t>
      </w:r>
      <w:r w:rsidR="00AD22A7" w:rsidRPr="00B3220B">
        <w:rPr>
          <w:rFonts w:asciiTheme="minorHAnsi" w:eastAsia="Calibri" w:hAnsiTheme="minorHAnsi" w:cs="Calibri"/>
          <w:sz w:val="24"/>
          <w:szCs w:val="24"/>
        </w:rPr>
        <w:t>.E.</w:t>
      </w:r>
      <w:r w:rsidR="00D20FDE" w:rsidRPr="00B3220B">
        <w:rPr>
          <w:rFonts w:asciiTheme="minorHAnsi" w:eastAsia="Calibri" w:hAnsiTheme="minorHAnsi" w:cs="Calibri"/>
          <w:sz w:val="24"/>
          <w:szCs w:val="24"/>
        </w:rPr>
        <w:t>,</w:t>
      </w:r>
      <w:r w:rsidR="00AD22A7" w:rsidRPr="00B3220B">
        <w:rPr>
          <w:rFonts w:asciiTheme="minorHAnsi" w:eastAsia="Calibri" w:hAnsiTheme="minorHAnsi" w:cs="Calibri"/>
          <w:sz w:val="24"/>
          <w:szCs w:val="24"/>
        </w:rPr>
        <w:t xml:space="preserve"> Tsoi, B.,</w:t>
      </w:r>
      <w:r w:rsidR="00D20FDE" w:rsidRPr="00B3220B">
        <w:rPr>
          <w:rFonts w:asciiTheme="minorHAnsi" w:eastAsia="Calibri" w:hAnsiTheme="minorHAnsi" w:cs="Calibri"/>
          <w:sz w:val="24"/>
          <w:szCs w:val="24"/>
        </w:rPr>
        <w:t xml:space="preserve"> et al. </w:t>
      </w:r>
      <w:r w:rsidR="00D20FDE" w:rsidRPr="00AD22A7">
        <w:rPr>
          <w:rFonts w:asciiTheme="minorHAnsi" w:eastAsia="Calibri" w:hAnsiTheme="minorHAnsi" w:cs="Calibri"/>
          <w:sz w:val="24"/>
          <w:szCs w:val="24"/>
        </w:rPr>
        <w:t>(1999). Barriers and Facilitators to Engagement of Vulnerable Populations in HIV Primary Care in New York City. </w:t>
      </w:r>
      <w:r w:rsidR="00D20FDE" w:rsidRPr="00AD22A7">
        <w:rPr>
          <w:rFonts w:asciiTheme="minorHAnsi" w:eastAsia="Calibri" w:hAnsiTheme="minorHAnsi" w:cs="Calibri"/>
          <w:i/>
          <w:sz w:val="24"/>
          <w:szCs w:val="24"/>
        </w:rPr>
        <w:t>Journal of Acquired Immune Deficiency Syndromes.</w:t>
      </w:r>
      <w:r w:rsidR="00D20FDE" w:rsidRPr="00AD22A7">
        <w:rPr>
          <w:rFonts w:asciiTheme="minorHAnsi" w:eastAsia="Calibri" w:hAnsiTheme="minorHAnsi" w:cs="Calibri"/>
          <w:sz w:val="24"/>
          <w:szCs w:val="24"/>
        </w:rPr>
        <w:t xml:space="preserve"> (1999). </w:t>
      </w:r>
      <w:r w:rsidR="00D20FDE" w:rsidRPr="00AD22A7">
        <w:rPr>
          <w:rFonts w:asciiTheme="minorHAnsi" w:eastAsia="Calibri" w:hAnsiTheme="minorHAnsi" w:cs="Calibri"/>
          <w:i/>
          <w:sz w:val="24"/>
          <w:szCs w:val="24"/>
        </w:rPr>
        <w:t>69</w:t>
      </w:r>
      <w:r w:rsidR="00D20FDE" w:rsidRPr="00AD22A7">
        <w:rPr>
          <w:rFonts w:asciiTheme="minorHAnsi" w:eastAsia="Calibri" w:hAnsiTheme="minorHAnsi" w:cs="Calibri"/>
          <w:sz w:val="24"/>
          <w:szCs w:val="24"/>
        </w:rPr>
        <w:t>(Suppl 1):S16-S24. DOI: 10.1097/QAI.0000000000000577</w:t>
      </w:r>
    </w:p>
    <w:p w14:paraId="430CDA6A" w14:textId="77777777" w:rsidR="003F7762" w:rsidRPr="00EB17C6" w:rsidRDefault="003F7762" w:rsidP="00EB17C6">
      <w:pPr>
        <w:tabs>
          <w:tab w:val="left" w:pos="1540"/>
        </w:tabs>
        <w:spacing w:before="3" w:line="280" w:lineRule="exact"/>
        <w:ind w:left="1540" w:right="112" w:hanging="360"/>
        <w:jc w:val="both"/>
        <w:rPr>
          <w:rFonts w:asciiTheme="minorHAnsi" w:eastAsia="Calibri" w:hAnsiTheme="minorHAnsi" w:cs="Calibri"/>
          <w:sz w:val="24"/>
          <w:szCs w:val="24"/>
        </w:rPr>
      </w:pPr>
      <w:r w:rsidRPr="00AD22A7">
        <w:rPr>
          <w:rFonts w:asciiTheme="minorHAnsi" w:hAnsiTheme="minorHAnsi"/>
          <w:sz w:val="24"/>
          <w:szCs w:val="24"/>
        </w:rPr>
        <w:tab/>
      </w:r>
      <w:r w:rsidR="00D20FDE" w:rsidRPr="00AD22A7">
        <w:rPr>
          <w:rFonts w:asciiTheme="minorHAnsi" w:eastAsia="Calibri" w:hAnsiTheme="minorHAnsi" w:cs="Calibri"/>
          <w:sz w:val="24"/>
          <w:szCs w:val="24"/>
        </w:rPr>
        <w:t>Study investigators</w:t>
      </w:r>
      <w:r w:rsidR="00D20FDE" w:rsidRPr="00EB17C6">
        <w:rPr>
          <w:rFonts w:asciiTheme="minorHAnsi" w:eastAsia="Calibri" w:hAnsiTheme="minorHAnsi" w:cs="Calibri"/>
          <w:sz w:val="24"/>
          <w:szCs w:val="24"/>
        </w:rPr>
        <w:t xml:space="preserve"> conducted 80 in-depth qualitative interviews with PLWH in 4 New York City populations that were identified as being inconsistently engaged in HIV medical care: African immigrants, previously incarcerated adults, transgender women, and young men who have sex with men. Barriers to and facilitators of HIV care engagement fell into 3 domains: (1) system factors (</w:t>
      </w:r>
      <w:proofErr w:type="spellStart"/>
      <w:r w:rsidR="00D20FDE" w:rsidRPr="00EB17C6">
        <w:rPr>
          <w:rFonts w:asciiTheme="minorHAnsi" w:eastAsia="Calibri" w:hAnsiTheme="minorHAnsi" w:cs="Calibri"/>
          <w:sz w:val="24"/>
          <w:szCs w:val="24"/>
        </w:rPr>
        <w:t>eg</w:t>
      </w:r>
      <w:proofErr w:type="spellEnd"/>
      <w:r w:rsidR="00D20FDE" w:rsidRPr="00EB17C6">
        <w:rPr>
          <w:rFonts w:asciiTheme="minorHAnsi" w:eastAsia="Calibri" w:hAnsiTheme="minorHAnsi" w:cs="Calibri"/>
          <w:sz w:val="24"/>
          <w:szCs w:val="24"/>
        </w:rPr>
        <w:t>, patient-provider relationship, social service agencies, transitions between penal system and community), (2) social factors (</w:t>
      </w:r>
      <w:proofErr w:type="spellStart"/>
      <w:r w:rsidR="00D20FDE" w:rsidRPr="00EB17C6">
        <w:rPr>
          <w:rFonts w:asciiTheme="minorHAnsi" w:eastAsia="Calibri" w:hAnsiTheme="minorHAnsi" w:cs="Calibri"/>
          <w:sz w:val="24"/>
          <w:szCs w:val="24"/>
        </w:rPr>
        <w:t>eg</w:t>
      </w:r>
      <w:proofErr w:type="spellEnd"/>
      <w:r w:rsidR="00D20FDE" w:rsidRPr="00EB17C6">
        <w:rPr>
          <w:rFonts w:asciiTheme="minorHAnsi" w:eastAsia="Calibri" w:hAnsiTheme="minorHAnsi" w:cs="Calibri"/>
          <w:sz w:val="24"/>
          <w:szCs w:val="24"/>
        </w:rPr>
        <w:t>, family and other social support; stigma related to HIV, substance use, sexual orientation, gender identity, and incarceration), and (3) individual factors (</w:t>
      </w:r>
      <w:proofErr w:type="spellStart"/>
      <w:r w:rsidR="00D20FDE" w:rsidRPr="00EB17C6">
        <w:rPr>
          <w:rFonts w:asciiTheme="minorHAnsi" w:eastAsia="Calibri" w:hAnsiTheme="minorHAnsi" w:cs="Calibri"/>
          <w:sz w:val="24"/>
          <w:szCs w:val="24"/>
        </w:rPr>
        <w:t>eg</w:t>
      </w:r>
      <w:proofErr w:type="spellEnd"/>
      <w:r w:rsidR="00D20FDE" w:rsidRPr="00EB17C6">
        <w:rPr>
          <w:rFonts w:asciiTheme="minorHAnsi" w:eastAsia="Calibri" w:hAnsiTheme="minorHAnsi" w:cs="Calibri"/>
          <w:sz w:val="24"/>
          <w:szCs w:val="24"/>
        </w:rPr>
        <w:t>, mental illness, substance use, resilience). Similarities and differences in these themes across the 4 populations as well as research and public health implications were identified. Engagement in care is maximized when the social challenges confronted by vulnerable groups are addressed, patient-provider communication is strong, and coordinated services are available, including housing, mental health and substance use treatment, and peer navigation.</w:t>
      </w:r>
    </w:p>
    <w:p w14:paraId="5F23DA90" w14:textId="4DFFAF03" w:rsidR="00A07C02" w:rsidRPr="00EB17C6" w:rsidRDefault="00EB17C6" w:rsidP="00A07C02">
      <w:pPr>
        <w:ind w:left="820" w:right="257" w:hanging="360"/>
        <w:rPr>
          <w:rFonts w:asciiTheme="minorHAnsi" w:eastAsia="Calibri" w:hAnsiTheme="minorHAnsi" w:cs="Calibri"/>
          <w:sz w:val="24"/>
          <w:szCs w:val="24"/>
        </w:rPr>
      </w:pPr>
      <w:r>
        <w:rPr>
          <w:rFonts w:asciiTheme="minorHAnsi" w:eastAsia="Calibri" w:hAnsiTheme="minorHAnsi" w:cs="Calibri"/>
          <w:spacing w:val="1"/>
          <w:sz w:val="24"/>
          <w:szCs w:val="24"/>
        </w:rPr>
        <w:t>12</w:t>
      </w:r>
      <w:r>
        <w:rPr>
          <w:rFonts w:asciiTheme="minorHAnsi" w:eastAsia="Calibri" w:hAnsiTheme="minorHAnsi" w:cs="Calibri"/>
          <w:sz w:val="24"/>
          <w:szCs w:val="24"/>
        </w:rPr>
        <w:t xml:space="preserve">. </w:t>
      </w:r>
      <w:r w:rsidR="00E720F5" w:rsidRPr="00EB17C6">
        <w:rPr>
          <w:rFonts w:asciiTheme="minorHAnsi" w:eastAsia="Calibri" w:hAnsiTheme="minorHAnsi" w:cs="Calibri"/>
          <w:sz w:val="24"/>
          <w:szCs w:val="24"/>
        </w:rPr>
        <w:t>Chapman</w:t>
      </w:r>
      <w:r w:rsidR="00AD22A7">
        <w:rPr>
          <w:rFonts w:asciiTheme="minorHAnsi" w:eastAsia="Calibri" w:hAnsiTheme="minorHAnsi" w:cs="Calibri"/>
          <w:sz w:val="24"/>
          <w:szCs w:val="24"/>
        </w:rPr>
        <w:t>,</w:t>
      </w:r>
      <w:r w:rsidR="00E720F5" w:rsidRPr="00EB17C6">
        <w:rPr>
          <w:rFonts w:asciiTheme="minorHAnsi" w:eastAsia="Calibri" w:hAnsiTheme="minorHAnsi" w:cs="Calibri"/>
          <w:sz w:val="24"/>
          <w:szCs w:val="24"/>
        </w:rPr>
        <w:t xml:space="preserve"> E</w:t>
      </w:r>
      <w:r w:rsidR="00AD22A7">
        <w:rPr>
          <w:rFonts w:asciiTheme="minorHAnsi" w:eastAsia="Calibri" w:hAnsiTheme="minorHAnsi" w:cs="Calibri"/>
          <w:sz w:val="24"/>
          <w:szCs w:val="24"/>
        </w:rPr>
        <w:t>.</w:t>
      </w:r>
      <w:r w:rsidR="00E720F5" w:rsidRPr="00EB17C6">
        <w:rPr>
          <w:rFonts w:asciiTheme="minorHAnsi" w:eastAsia="Calibri" w:hAnsiTheme="minorHAnsi" w:cs="Calibri"/>
          <w:sz w:val="24"/>
          <w:szCs w:val="24"/>
        </w:rPr>
        <w:t xml:space="preserve"> &amp; Banaji, MR</w:t>
      </w:r>
      <w:r w:rsidR="00A07C02" w:rsidRPr="00EB17C6">
        <w:rPr>
          <w:rFonts w:asciiTheme="minorHAnsi" w:eastAsia="Calibri" w:hAnsiTheme="minorHAnsi" w:cs="Calibri"/>
          <w:sz w:val="24"/>
          <w:szCs w:val="24"/>
        </w:rPr>
        <w:t xml:space="preserve">. </w:t>
      </w:r>
      <w:r w:rsidR="00E720F5" w:rsidRPr="00EB17C6">
        <w:rPr>
          <w:rFonts w:asciiTheme="minorHAnsi" w:eastAsia="Calibri" w:hAnsiTheme="minorHAnsi" w:cs="Calibri"/>
          <w:sz w:val="24"/>
          <w:szCs w:val="24"/>
        </w:rPr>
        <w:t xml:space="preserve">(1995). Implicit Social Cognition: Attitudes, Self-Esteem and Stereotypes. </w:t>
      </w:r>
      <w:r w:rsidR="00A07C02" w:rsidRPr="00EB17C6">
        <w:rPr>
          <w:rFonts w:asciiTheme="minorHAnsi" w:eastAsia="Calibri" w:hAnsiTheme="minorHAnsi" w:cs="Calibri"/>
          <w:i/>
          <w:sz w:val="24"/>
          <w:szCs w:val="24"/>
        </w:rPr>
        <w:t xml:space="preserve">Journal of General Internal </w:t>
      </w:r>
      <w:r>
        <w:rPr>
          <w:rFonts w:asciiTheme="minorHAnsi" w:eastAsia="Calibri" w:hAnsiTheme="minorHAnsi" w:cs="Calibri"/>
          <w:i/>
          <w:sz w:val="24"/>
          <w:szCs w:val="24"/>
        </w:rPr>
        <w:t>Medicine</w:t>
      </w:r>
      <w:r w:rsidR="00A07C02" w:rsidRPr="00EB17C6">
        <w:rPr>
          <w:rFonts w:asciiTheme="minorHAnsi" w:eastAsia="Calibri" w:hAnsiTheme="minorHAnsi" w:cs="Calibri"/>
          <w:sz w:val="24"/>
          <w:szCs w:val="24"/>
        </w:rPr>
        <w:t xml:space="preserve">. </w:t>
      </w:r>
      <w:r w:rsidR="00A07C02" w:rsidRPr="00EB17C6">
        <w:rPr>
          <w:rFonts w:asciiTheme="minorHAnsi" w:eastAsia="Calibri" w:hAnsiTheme="minorHAnsi" w:cs="Calibri"/>
          <w:i/>
          <w:sz w:val="24"/>
          <w:szCs w:val="24"/>
        </w:rPr>
        <w:t>28</w:t>
      </w:r>
      <w:r w:rsidR="00AD22A7">
        <w:rPr>
          <w:rFonts w:asciiTheme="minorHAnsi" w:eastAsia="Calibri" w:hAnsiTheme="minorHAnsi" w:cs="Calibri"/>
          <w:sz w:val="24"/>
          <w:szCs w:val="24"/>
        </w:rPr>
        <w:t xml:space="preserve">(11), </w:t>
      </w:r>
      <w:r w:rsidR="00A07C02" w:rsidRPr="00EB17C6">
        <w:rPr>
          <w:rFonts w:asciiTheme="minorHAnsi" w:eastAsia="Calibri" w:hAnsiTheme="minorHAnsi" w:cs="Calibri"/>
          <w:sz w:val="24"/>
          <w:szCs w:val="24"/>
        </w:rPr>
        <w:t xml:space="preserve">1504-10. </w:t>
      </w:r>
    </w:p>
    <w:p w14:paraId="7D84C024" w14:textId="77777777" w:rsidR="00A07C02" w:rsidRPr="00EB17C6" w:rsidRDefault="00A07C02" w:rsidP="00EB17C6">
      <w:pPr>
        <w:tabs>
          <w:tab w:val="left" w:pos="1540"/>
        </w:tabs>
        <w:spacing w:before="3" w:line="280" w:lineRule="exact"/>
        <w:ind w:left="1540" w:right="112" w:hanging="360"/>
        <w:jc w:val="both"/>
        <w:rPr>
          <w:rFonts w:asciiTheme="minorHAnsi" w:eastAsia="Calibri" w:hAnsiTheme="minorHAnsi" w:cs="Calibri"/>
          <w:sz w:val="24"/>
          <w:szCs w:val="24"/>
        </w:rPr>
      </w:pPr>
      <w:r w:rsidRPr="00EB17C6">
        <w:rPr>
          <w:rFonts w:asciiTheme="minorHAnsi" w:hAnsiTheme="minorHAnsi"/>
          <w:sz w:val="24"/>
          <w:szCs w:val="24"/>
        </w:rPr>
        <w:tab/>
      </w:r>
      <w:r w:rsidR="00E720F5" w:rsidRPr="00EB17C6">
        <w:rPr>
          <w:rFonts w:asciiTheme="minorHAnsi" w:eastAsia="Calibri" w:hAnsiTheme="minorHAnsi" w:cs="Calibri"/>
          <w:sz w:val="24"/>
          <w:szCs w:val="24"/>
        </w:rPr>
        <w:t>Social behavior is ordinarily treated as being under conscious (if not always thoughtful) control. However, considerable evidence now supports the view that social behavior often operates in an implicit or unconscious fashion. The identifying feature of implicit cognition is that past experience influences judgment in a fashion not introspectively known by the actor. The present conclusion-</w:t>
      </w:r>
      <w:r w:rsidR="00E720F5" w:rsidRPr="00EB17C6">
        <w:rPr>
          <w:rFonts w:asciiTheme="minorHAnsi" w:eastAsia="Calibri" w:hAnsiTheme="minorHAnsi" w:cs="Calibri"/>
          <w:sz w:val="24"/>
          <w:szCs w:val="24"/>
        </w:rPr>
        <w:lastRenderedPageBreak/>
        <w:t>-that attitudes, self-esteem, and stereotypes have important implicit modes of operation--extends both the construct validity and predictive usefulness of these major theoretical constructs of social psychology. Methodologically, this review calls for increased use of indirect measures--which are imperative in studies of implicit cognition. The theorized ordinariness of implicit stereotyping is consistent with recent findings of discrimination by people who explicitly disavow prejudice. The finding that implicit cognitive effects are often reduced by focusing judges' attention on their judgment task provides a basis for evaluating applications (such as affirmative action) aimed at reducing such unintended discrimination.</w:t>
      </w:r>
      <w:r w:rsidRPr="00EB17C6">
        <w:rPr>
          <w:rFonts w:asciiTheme="minorHAnsi" w:eastAsia="Calibri" w:hAnsiTheme="minorHAnsi" w:cs="Calibri"/>
          <w:sz w:val="24"/>
          <w:szCs w:val="24"/>
        </w:rPr>
        <w:t xml:space="preserve"> </w:t>
      </w:r>
    </w:p>
    <w:p w14:paraId="68CC329E" w14:textId="5A9255C0" w:rsidR="00A07C02" w:rsidRPr="00EB17C6" w:rsidRDefault="00EB17C6" w:rsidP="00A07C02">
      <w:pPr>
        <w:ind w:left="820" w:right="257" w:hanging="360"/>
        <w:rPr>
          <w:rFonts w:asciiTheme="minorHAnsi" w:eastAsia="Calibri" w:hAnsiTheme="minorHAnsi" w:cs="Calibri"/>
          <w:sz w:val="24"/>
          <w:szCs w:val="24"/>
        </w:rPr>
      </w:pPr>
      <w:r>
        <w:rPr>
          <w:rFonts w:asciiTheme="minorHAnsi" w:eastAsia="Calibri" w:hAnsiTheme="minorHAnsi" w:cs="Calibri"/>
          <w:spacing w:val="1"/>
          <w:sz w:val="24"/>
          <w:szCs w:val="24"/>
        </w:rPr>
        <w:t>13</w:t>
      </w:r>
      <w:r w:rsidR="00A07C02" w:rsidRPr="00EB17C6">
        <w:rPr>
          <w:rFonts w:asciiTheme="minorHAnsi" w:eastAsia="Calibri" w:hAnsiTheme="minorHAnsi" w:cs="Calibri"/>
          <w:sz w:val="24"/>
          <w:szCs w:val="24"/>
        </w:rPr>
        <w:t xml:space="preserve">.  </w:t>
      </w:r>
      <w:r w:rsidR="00E720F5" w:rsidRPr="00EB17C6">
        <w:rPr>
          <w:rFonts w:asciiTheme="minorHAnsi" w:eastAsia="Calibri" w:hAnsiTheme="minorHAnsi" w:cs="Calibri"/>
          <w:sz w:val="24"/>
          <w:szCs w:val="24"/>
        </w:rPr>
        <w:t xml:space="preserve">van </w:t>
      </w:r>
      <w:proofErr w:type="spellStart"/>
      <w:r w:rsidR="00E720F5" w:rsidRPr="00EB17C6">
        <w:rPr>
          <w:rFonts w:asciiTheme="minorHAnsi" w:eastAsia="Calibri" w:hAnsiTheme="minorHAnsi" w:cs="Calibri"/>
          <w:sz w:val="24"/>
          <w:szCs w:val="24"/>
        </w:rPr>
        <w:t>Ryn</w:t>
      </w:r>
      <w:proofErr w:type="spellEnd"/>
      <w:r w:rsidR="00E720F5" w:rsidRPr="00EB17C6">
        <w:rPr>
          <w:rFonts w:asciiTheme="minorHAnsi" w:eastAsia="Calibri" w:hAnsiTheme="minorHAnsi" w:cs="Calibri"/>
          <w:sz w:val="24"/>
          <w:szCs w:val="24"/>
        </w:rPr>
        <w:t xml:space="preserve"> M, Burgess, D.J., </w:t>
      </w:r>
      <w:r w:rsidR="00AD22A7">
        <w:rPr>
          <w:rFonts w:asciiTheme="minorHAnsi" w:eastAsia="Calibri" w:hAnsiTheme="minorHAnsi" w:cs="Calibri"/>
          <w:sz w:val="24"/>
          <w:szCs w:val="24"/>
        </w:rPr>
        <w:t xml:space="preserve">Dovidio, J.F., Phelan, S.M., </w:t>
      </w:r>
      <w:r w:rsidR="00E720F5" w:rsidRPr="00EB17C6">
        <w:rPr>
          <w:rFonts w:asciiTheme="minorHAnsi" w:eastAsia="Calibri" w:hAnsiTheme="minorHAnsi" w:cs="Calibri"/>
          <w:sz w:val="24"/>
          <w:szCs w:val="24"/>
        </w:rPr>
        <w:t xml:space="preserve">et al. (2011). The impact of racism on clinician cognition, behavior, and clinical decision making. </w:t>
      </w:r>
      <w:r w:rsidR="00E720F5" w:rsidRPr="00EB17C6">
        <w:rPr>
          <w:rFonts w:asciiTheme="minorHAnsi" w:eastAsia="Calibri" w:hAnsiTheme="minorHAnsi" w:cs="Calibri"/>
          <w:i/>
          <w:sz w:val="24"/>
          <w:szCs w:val="24"/>
        </w:rPr>
        <w:t xml:space="preserve">Du </w:t>
      </w:r>
      <w:proofErr w:type="spellStart"/>
      <w:r w:rsidR="00E720F5" w:rsidRPr="00EB17C6">
        <w:rPr>
          <w:rFonts w:asciiTheme="minorHAnsi" w:eastAsia="Calibri" w:hAnsiTheme="minorHAnsi" w:cs="Calibri"/>
          <w:i/>
          <w:sz w:val="24"/>
          <w:szCs w:val="24"/>
        </w:rPr>
        <w:t>Bois</w:t>
      </w:r>
      <w:proofErr w:type="spellEnd"/>
      <w:r w:rsidR="00E720F5" w:rsidRPr="00EB17C6">
        <w:rPr>
          <w:rFonts w:asciiTheme="minorHAnsi" w:eastAsia="Calibri" w:hAnsiTheme="minorHAnsi" w:cs="Calibri"/>
          <w:i/>
          <w:sz w:val="24"/>
          <w:szCs w:val="24"/>
        </w:rPr>
        <w:t xml:space="preserve"> Review</w:t>
      </w:r>
      <w:r w:rsidR="00E720F5" w:rsidRPr="00EB17C6">
        <w:rPr>
          <w:rFonts w:asciiTheme="minorHAnsi" w:eastAsia="Calibri" w:hAnsiTheme="minorHAnsi" w:cs="Calibri"/>
          <w:sz w:val="24"/>
          <w:szCs w:val="24"/>
        </w:rPr>
        <w:t xml:space="preserve">. </w:t>
      </w:r>
      <w:r w:rsidR="00E720F5" w:rsidRPr="00EB17C6">
        <w:rPr>
          <w:rFonts w:asciiTheme="minorHAnsi" w:eastAsia="Calibri" w:hAnsiTheme="minorHAnsi" w:cs="Calibri"/>
          <w:i/>
          <w:sz w:val="24"/>
          <w:szCs w:val="24"/>
        </w:rPr>
        <w:t>8</w:t>
      </w:r>
      <w:r w:rsidR="00AD22A7">
        <w:rPr>
          <w:rFonts w:asciiTheme="minorHAnsi" w:eastAsia="Calibri" w:hAnsiTheme="minorHAnsi" w:cs="Calibri"/>
          <w:sz w:val="24"/>
          <w:szCs w:val="24"/>
        </w:rPr>
        <w:t xml:space="preserve">(1), </w:t>
      </w:r>
      <w:r w:rsidR="00E720F5" w:rsidRPr="00EB17C6">
        <w:rPr>
          <w:rFonts w:asciiTheme="minorHAnsi" w:eastAsia="Calibri" w:hAnsiTheme="minorHAnsi" w:cs="Calibri"/>
          <w:sz w:val="24"/>
          <w:szCs w:val="24"/>
        </w:rPr>
        <w:t>199-218.</w:t>
      </w:r>
    </w:p>
    <w:p w14:paraId="7CBEB5E1" w14:textId="77777777" w:rsidR="00E720F5" w:rsidRPr="00EB17C6" w:rsidRDefault="00A07C02" w:rsidP="00EB17C6">
      <w:pPr>
        <w:tabs>
          <w:tab w:val="left" w:pos="1540"/>
        </w:tabs>
        <w:spacing w:before="3" w:line="280" w:lineRule="exact"/>
        <w:ind w:left="1540" w:right="112" w:hanging="360"/>
        <w:jc w:val="both"/>
        <w:rPr>
          <w:rFonts w:asciiTheme="minorHAnsi" w:eastAsia="Calibri" w:hAnsiTheme="minorHAnsi" w:cs="Calibri"/>
          <w:sz w:val="24"/>
          <w:szCs w:val="24"/>
        </w:rPr>
      </w:pPr>
      <w:r w:rsidRPr="00EB17C6">
        <w:rPr>
          <w:rFonts w:asciiTheme="minorHAnsi" w:hAnsiTheme="minorHAnsi"/>
          <w:sz w:val="24"/>
          <w:szCs w:val="24"/>
        </w:rPr>
        <w:tab/>
      </w:r>
      <w:r w:rsidR="00E720F5" w:rsidRPr="00EB17C6">
        <w:rPr>
          <w:rFonts w:asciiTheme="minorHAnsi" w:eastAsia="Calibri" w:hAnsiTheme="minorHAnsi" w:cs="Calibri"/>
          <w:sz w:val="24"/>
          <w:szCs w:val="24"/>
        </w:rPr>
        <w:t xml:space="preserve">Over the past two decades, thousands of studies have demonstrated that Blacks receive lower quality medical care than Whites, independent of disease status, setting, insurance, and other clinically relevant factors. Despite this, there has been little progress towards eradicating these inequities. Almost a decade ago we proposed a conceptual model identifying mechanisms through which clinicians’ behavior, cognition, and decision making might be influenced by implicit racial biases and explicit racial stereotypes, and thereby contribute to racial inequities in care. Empirical evidence has supported many of these hypothesized mechanisms, demonstrating that White medical care clinicians: (1) hold negative implicit racial biases and explicit racial stereotypes, (2) have implicit racial biases that persist independently of and in contrast to their explicit (conscious) racial attitudes, and (3) can be influenced by racial bias in their clinical decision making and behavior during encounters with Black patients. This paper applies evidence from several disciplines to further specify our original model and elaborate on the </w:t>
      </w:r>
      <w:proofErr w:type="gramStart"/>
      <w:r w:rsidR="00E720F5" w:rsidRPr="00EB17C6">
        <w:rPr>
          <w:rFonts w:asciiTheme="minorHAnsi" w:eastAsia="Calibri" w:hAnsiTheme="minorHAnsi" w:cs="Calibri"/>
          <w:sz w:val="24"/>
          <w:szCs w:val="24"/>
        </w:rPr>
        <w:t>ways</w:t>
      </w:r>
      <w:proofErr w:type="gramEnd"/>
      <w:r w:rsidR="00E720F5" w:rsidRPr="00EB17C6">
        <w:rPr>
          <w:rFonts w:asciiTheme="minorHAnsi" w:eastAsia="Calibri" w:hAnsiTheme="minorHAnsi" w:cs="Calibri"/>
          <w:sz w:val="24"/>
          <w:szCs w:val="24"/>
        </w:rPr>
        <w:t xml:space="preserve"> racism can interact with cognitive biases to affect clinicians’ behavior and decisions and in turn, patient behavior and decisions. We then highlight avenues for intervention and make specific recommendations to medical care and grant-making organizations.</w:t>
      </w:r>
      <w:r w:rsidRPr="00EB17C6">
        <w:rPr>
          <w:rFonts w:asciiTheme="minorHAnsi" w:eastAsia="Calibri" w:hAnsiTheme="minorHAnsi" w:cs="Calibri"/>
          <w:sz w:val="24"/>
          <w:szCs w:val="24"/>
        </w:rPr>
        <w:t xml:space="preserve"> </w:t>
      </w:r>
    </w:p>
    <w:p w14:paraId="3B547AD0" w14:textId="77777777" w:rsidR="00DC3A0A" w:rsidRPr="00EB17C6" w:rsidRDefault="00DC3A0A">
      <w:pPr>
        <w:spacing w:before="2" w:line="180" w:lineRule="exact"/>
        <w:rPr>
          <w:rFonts w:asciiTheme="minorHAnsi" w:hAnsiTheme="minorHAnsi"/>
          <w:sz w:val="24"/>
          <w:szCs w:val="24"/>
        </w:rPr>
      </w:pPr>
    </w:p>
    <w:p w14:paraId="32F863FE" w14:textId="77777777" w:rsidR="00DC3A0A" w:rsidRPr="00EB17C6" w:rsidRDefault="004374F5">
      <w:pPr>
        <w:ind w:left="100"/>
        <w:rPr>
          <w:rFonts w:asciiTheme="minorHAnsi" w:eastAsia="Calibri" w:hAnsiTheme="minorHAnsi" w:cs="Calibri"/>
          <w:sz w:val="24"/>
          <w:szCs w:val="24"/>
        </w:rPr>
      </w:pPr>
      <w:r w:rsidRPr="00EB17C6">
        <w:rPr>
          <w:rFonts w:asciiTheme="minorHAnsi" w:eastAsia="Calibri" w:hAnsiTheme="minorHAnsi" w:cs="Calibri"/>
          <w:b/>
          <w:spacing w:val="-1"/>
          <w:sz w:val="24"/>
          <w:szCs w:val="24"/>
          <w:u w:val="single" w:color="000000"/>
        </w:rPr>
        <w:t>Re</w:t>
      </w:r>
      <w:r w:rsidRPr="00EB17C6">
        <w:rPr>
          <w:rFonts w:asciiTheme="minorHAnsi" w:eastAsia="Calibri" w:hAnsiTheme="minorHAnsi" w:cs="Calibri"/>
          <w:b/>
          <w:spacing w:val="1"/>
          <w:sz w:val="24"/>
          <w:szCs w:val="24"/>
          <w:u w:val="single" w:color="000000"/>
        </w:rPr>
        <w:t>p</w:t>
      </w:r>
      <w:r w:rsidRPr="00EB17C6">
        <w:rPr>
          <w:rFonts w:asciiTheme="minorHAnsi" w:eastAsia="Calibri" w:hAnsiTheme="minorHAnsi" w:cs="Calibri"/>
          <w:b/>
          <w:sz w:val="24"/>
          <w:szCs w:val="24"/>
          <w:u w:val="single" w:color="000000"/>
        </w:rPr>
        <w:t>o</w:t>
      </w:r>
      <w:r w:rsidRPr="00EB17C6">
        <w:rPr>
          <w:rFonts w:asciiTheme="minorHAnsi" w:eastAsia="Calibri" w:hAnsiTheme="minorHAnsi" w:cs="Calibri"/>
          <w:b/>
          <w:spacing w:val="1"/>
          <w:sz w:val="24"/>
          <w:szCs w:val="24"/>
          <w:u w:val="single" w:color="000000"/>
        </w:rPr>
        <w:t>r</w:t>
      </w:r>
      <w:r w:rsidRPr="00EB17C6">
        <w:rPr>
          <w:rFonts w:asciiTheme="minorHAnsi" w:eastAsia="Calibri" w:hAnsiTheme="minorHAnsi" w:cs="Calibri"/>
          <w:b/>
          <w:sz w:val="24"/>
          <w:szCs w:val="24"/>
          <w:u w:val="single" w:color="000000"/>
        </w:rPr>
        <w:t>ts</w:t>
      </w:r>
      <w:r w:rsidRPr="00EB17C6">
        <w:rPr>
          <w:rFonts w:asciiTheme="minorHAnsi" w:eastAsia="Calibri" w:hAnsiTheme="minorHAnsi" w:cs="Calibri"/>
          <w:b/>
          <w:spacing w:val="2"/>
          <w:sz w:val="24"/>
          <w:szCs w:val="24"/>
          <w:u w:val="single" w:color="000000"/>
        </w:rPr>
        <w:t xml:space="preserve"> </w:t>
      </w:r>
      <w:r w:rsidRPr="00EB17C6">
        <w:rPr>
          <w:rFonts w:asciiTheme="minorHAnsi" w:eastAsia="Calibri" w:hAnsiTheme="minorHAnsi" w:cs="Calibri"/>
          <w:b/>
          <w:spacing w:val="-1"/>
          <w:sz w:val="24"/>
          <w:szCs w:val="24"/>
          <w:u w:val="single" w:color="000000"/>
        </w:rPr>
        <w:t>a</w:t>
      </w:r>
      <w:r w:rsidRPr="00EB17C6">
        <w:rPr>
          <w:rFonts w:asciiTheme="minorHAnsi" w:eastAsia="Calibri" w:hAnsiTheme="minorHAnsi" w:cs="Calibri"/>
          <w:b/>
          <w:spacing w:val="1"/>
          <w:sz w:val="24"/>
          <w:szCs w:val="24"/>
          <w:u w:val="single" w:color="000000"/>
        </w:rPr>
        <w:t>n</w:t>
      </w:r>
      <w:r w:rsidRPr="00EB17C6">
        <w:rPr>
          <w:rFonts w:asciiTheme="minorHAnsi" w:eastAsia="Calibri" w:hAnsiTheme="minorHAnsi" w:cs="Calibri"/>
          <w:b/>
          <w:sz w:val="24"/>
          <w:szCs w:val="24"/>
          <w:u w:val="single" w:color="000000"/>
        </w:rPr>
        <w:t>d</w:t>
      </w:r>
      <w:r w:rsidRPr="00EB17C6">
        <w:rPr>
          <w:rFonts w:asciiTheme="minorHAnsi" w:eastAsia="Calibri" w:hAnsiTheme="minorHAnsi" w:cs="Calibri"/>
          <w:b/>
          <w:spacing w:val="-1"/>
          <w:sz w:val="24"/>
          <w:szCs w:val="24"/>
          <w:u w:val="single" w:color="000000"/>
        </w:rPr>
        <w:t xml:space="preserve"> </w:t>
      </w:r>
      <w:r w:rsidRPr="00EB17C6">
        <w:rPr>
          <w:rFonts w:asciiTheme="minorHAnsi" w:eastAsia="Calibri" w:hAnsiTheme="minorHAnsi" w:cs="Calibri"/>
          <w:b/>
          <w:sz w:val="24"/>
          <w:szCs w:val="24"/>
          <w:u w:val="single" w:color="000000"/>
        </w:rPr>
        <w:t>Fact</w:t>
      </w:r>
      <w:r w:rsidRPr="00EB17C6">
        <w:rPr>
          <w:rFonts w:asciiTheme="minorHAnsi" w:eastAsia="Calibri" w:hAnsiTheme="minorHAnsi" w:cs="Calibri"/>
          <w:b/>
          <w:spacing w:val="-2"/>
          <w:sz w:val="24"/>
          <w:szCs w:val="24"/>
          <w:u w:val="single" w:color="000000"/>
        </w:rPr>
        <w:t>s</w:t>
      </w:r>
      <w:r w:rsidRPr="00EB17C6">
        <w:rPr>
          <w:rFonts w:asciiTheme="minorHAnsi" w:eastAsia="Calibri" w:hAnsiTheme="minorHAnsi" w:cs="Calibri"/>
          <w:b/>
          <w:spacing w:val="1"/>
          <w:sz w:val="24"/>
          <w:szCs w:val="24"/>
          <w:u w:val="single" w:color="000000"/>
        </w:rPr>
        <w:t>h</w:t>
      </w:r>
      <w:r w:rsidRPr="00EB17C6">
        <w:rPr>
          <w:rFonts w:asciiTheme="minorHAnsi" w:eastAsia="Calibri" w:hAnsiTheme="minorHAnsi" w:cs="Calibri"/>
          <w:b/>
          <w:spacing w:val="-1"/>
          <w:sz w:val="24"/>
          <w:szCs w:val="24"/>
          <w:u w:val="single" w:color="000000"/>
        </w:rPr>
        <w:t>ee</w:t>
      </w:r>
      <w:r w:rsidRPr="00EB17C6">
        <w:rPr>
          <w:rFonts w:asciiTheme="minorHAnsi" w:eastAsia="Calibri" w:hAnsiTheme="minorHAnsi" w:cs="Calibri"/>
          <w:b/>
          <w:sz w:val="24"/>
          <w:szCs w:val="24"/>
          <w:u w:val="single" w:color="000000"/>
        </w:rPr>
        <w:t>ts</w:t>
      </w:r>
    </w:p>
    <w:p w14:paraId="7E20C65C" w14:textId="77777777" w:rsidR="00DC3A0A" w:rsidRPr="00EB17C6" w:rsidRDefault="00DC3A0A">
      <w:pPr>
        <w:spacing w:before="2" w:line="180" w:lineRule="exact"/>
        <w:rPr>
          <w:rFonts w:asciiTheme="minorHAnsi" w:hAnsiTheme="minorHAnsi"/>
          <w:sz w:val="24"/>
          <w:szCs w:val="24"/>
        </w:rPr>
      </w:pPr>
    </w:p>
    <w:p w14:paraId="4A66B560" w14:textId="77777777" w:rsidR="00EB17C6" w:rsidRPr="00EB17C6" w:rsidRDefault="00EB17C6" w:rsidP="00EB17C6">
      <w:pPr>
        <w:ind w:left="820" w:right="257" w:hanging="360"/>
        <w:rPr>
          <w:rFonts w:asciiTheme="minorHAnsi" w:eastAsia="Calibri" w:hAnsiTheme="minorHAnsi" w:cs="Calibri"/>
          <w:sz w:val="24"/>
          <w:szCs w:val="24"/>
        </w:rPr>
      </w:pPr>
      <w:r>
        <w:rPr>
          <w:rFonts w:asciiTheme="minorHAnsi" w:eastAsia="Calibri" w:hAnsiTheme="minorHAnsi" w:cs="Calibri"/>
          <w:spacing w:val="1"/>
          <w:sz w:val="24"/>
          <w:szCs w:val="24"/>
        </w:rPr>
        <w:t>1</w:t>
      </w:r>
      <w:r w:rsidRPr="00EB17C6">
        <w:rPr>
          <w:rFonts w:asciiTheme="minorHAnsi" w:eastAsia="Calibri" w:hAnsiTheme="minorHAnsi" w:cs="Calibri"/>
          <w:sz w:val="24"/>
          <w:szCs w:val="24"/>
        </w:rPr>
        <w:t xml:space="preserve">.  </w:t>
      </w:r>
      <w:r w:rsidRPr="00EB17C6">
        <w:rPr>
          <w:rFonts w:asciiTheme="minorHAnsi" w:eastAsia="Calibri" w:hAnsiTheme="minorHAnsi" w:cs="Calibri"/>
          <w:spacing w:val="15"/>
          <w:sz w:val="24"/>
          <w:szCs w:val="24"/>
        </w:rPr>
        <w:t xml:space="preserve"> </w:t>
      </w:r>
      <w:r w:rsidRPr="00EB17C6">
        <w:rPr>
          <w:rFonts w:asciiTheme="minorHAnsi" w:eastAsia="Calibri" w:hAnsiTheme="minorHAnsi" w:cs="Calibri"/>
          <w:sz w:val="24"/>
          <w:szCs w:val="24"/>
        </w:rPr>
        <w:t xml:space="preserve">Primary Care PTSD Screen for DSM-5 (PC-PTSD-5). U.S. Department of Veteran Affairs. Retrieved from: </w:t>
      </w:r>
      <w:hyperlink r:id="rId13" w:history="1">
        <w:r w:rsidRPr="00EB17C6">
          <w:rPr>
            <w:rStyle w:val="Hyperlink"/>
            <w:rFonts w:asciiTheme="minorHAnsi" w:eastAsia="Calibri" w:hAnsiTheme="minorHAnsi" w:cs="Calibri"/>
            <w:color w:val="auto"/>
            <w:sz w:val="24"/>
            <w:szCs w:val="24"/>
          </w:rPr>
          <w:t>https://www.ptsd.va.gov/professional/assessment/screens/pc-ptsd.asp</w:t>
        </w:r>
      </w:hyperlink>
    </w:p>
    <w:p w14:paraId="61490AC0" w14:textId="77777777" w:rsidR="00EB17C6" w:rsidRPr="00EB17C6" w:rsidRDefault="00EB17C6" w:rsidP="00EB17C6">
      <w:pPr>
        <w:tabs>
          <w:tab w:val="left" w:pos="1540"/>
        </w:tabs>
        <w:spacing w:before="3" w:line="280" w:lineRule="exact"/>
        <w:ind w:left="1540" w:right="112" w:hanging="360"/>
        <w:jc w:val="both"/>
        <w:rPr>
          <w:rFonts w:asciiTheme="minorHAnsi" w:eastAsia="Calibri" w:hAnsiTheme="minorHAnsi" w:cstheme="minorHAnsi"/>
          <w:sz w:val="24"/>
          <w:szCs w:val="24"/>
        </w:rPr>
      </w:pPr>
      <w:r w:rsidRPr="00EB17C6">
        <w:rPr>
          <w:rFonts w:asciiTheme="minorHAnsi" w:hAnsiTheme="minorHAnsi"/>
          <w:sz w:val="24"/>
          <w:szCs w:val="24"/>
        </w:rPr>
        <w:tab/>
      </w:r>
      <w:r w:rsidRPr="00EB17C6">
        <w:rPr>
          <w:rFonts w:asciiTheme="minorHAnsi" w:eastAsia="Calibri" w:hAnsiTheme="minorHAnsi" w:cs="Calibri"/>
          <w:sz w:val="24"/>
          <w:szCs w:val="24"/>
        </w:rPr>
        <w:t>The Primary Care PTSD Screen for </w:t>
      </w:r>
      <w:r w:rsidRPr="00EB17C6">
        <w:rPr>
          <w:rFonts w:asciiTheme="minorHAnsi" w:eastAsia="Calibri" w:hAnsiTheme="minorHAnsi" w:cs="Calibri"/>
          <w:i/>
          <w:iCs/>
          <w:sz w:val="24"/>
          <w:szCs w:val="24"/>
        </w:rPr>
        <w:t>DSM-5</w:t>
      </w:r>
      <w:r w:rsidRPr="00EB17C6">
        <w:rPr>
          <w:rFonts w:asciiTheme="minorHAnsi" w:eastAsia="Calibri" w:hAnsiTheme="minorHAnsi" w:cs="Calibri"/>
          <w:sz w:val="24"/>
          <w:szCs w:val="24"/>
        </w:rPr>
        <w:t xml:space="preserve"> (PC-PTSD-5) is a 5-item screen that was designed for use in primary care settings. The measure begins with an item designed to assess whether the respondent has had any exposure to traumatic events. If a respondent denies exposure, the PC-PTSD-5 is complete with a score of 0. However, if a respondent indicates that he or she has </w:t>
      </w:r>
      <w:r w:rsidRPr="00EB17C6">
        <w:rPr>
          <w:rFonts w:asciiTheme="minorHAnsi" w:eastAsia="Calibri" w:hAnsiTheme="minorHAnsi" w:cstheme="minorHAnsi"/>
          <w:sz w:val="24"/>
          <w:szCs w:val="24"/>
        </w:rPr>
        <w:t>experienced a traumatic event over the course of his or her life, the respondent is instructed to respond to five additional yes/no questions about how that trauma exposure has affected him or her over the past month.</w:t>
      </w:r>
    </w:p>
    <w:p w14:paraId="4A2E50A6" w14:textId="77777777" w:rsidR="00EB17C6" w:rsidRPr="00EB17C6" w:rsidRDefault="00EB17C6" w:rsidP="00EB17C6">
      <w:pPr>
        <w:ind w:left="820" w:right="257" w:hanging="360"/>
        <w:rPr>
          <w:rFonts w:asciiTheme="minorHAnsi" w:eastAsia="Calibri" w:hAnsiTheme="minorHAnsi" w:cstheme="minorHAnsi"/>
          <w:sz w:val="24"/>
          <w:szCs w:val="24"/>
        </w:rPr>
      </w:pPr>
      <w:r>
        <w:rPr>
          <w:rFonts w:asciiTheme="minorHAnsi" w:eastAsia="Calibri" w:hAnsiTheme="minorHAnsi" w:cstheme="minorHAnsi"/>
          <w:spacing w:val="1"/>
          <w:sz w:val="24"/>
          <w:szCs w:val="24"/>
        </w:rPr>
        <w:t>2</w:t>
      </w:r>
      <w:r w:rsidRPr="00EB17C6">
        <w:rPr>
          <w:rFonts w:asciiTheme="minorHAnsi" w:eastAsia="Calibri" w:hAnsiTheme="minorHAnsi" w:cstheme="minorHAnsi"/>
          <w:sz w:val="24"/>
          <w:szCs w:val="24"/>
        </w:rPr>
        <w:t xml:space="preserve">.  </w:t>
      </w:r>
      <w:r w:rsidRPr="00EB17C6">
        <w:rPr>
          <w:rFonts w:asciiTheme="minorHAnsi" w:eastAsia="Calibri" w:hAnsiTheme="minorHAnsi" w:cstheme="minorHAnsi"/>
          <w:spacing w:val="15"/>
          <w:sz w:val="24"/>
          <w:szCs w:val="24"/>
        </w:rPr>
        <w:t xml:space="preserve"> </w:t>
      </w:r>
      <w:r w:rsidRPr="00EB17C6">
        <w:rPr>
          <w:rFonts w:asciiTheme="minorHAnsi" w:eastAsia="Calibri" w:hAnsiTheme="minorHAnsi" w:cstheme="minorHAnsi"/>
          <w:sz w:val="24"/>
          <w:szCs w:val="24"/>
        </w:rPr>
        <w:t>US department of Health and Human Services Centers for Disease Control and Prevention. A Guide to Taking a Sexual History. (2015). Retrieved from: https://www.cdc.gov/std/treatment/sexualhistory.pdf</w:t>
      </w:r>
    </w:p>
    <w:p w14:paraId="6DD8D588" w14:textId="1377773D" w:rsidR="00EB17C6" w:rsidRPr="00EB17C6" w:rsidRDefault="00EB17C6" w:rsidP="00EB17C6">
      <w:pPr>
        <w:tabs>
          <w:tab w:val="left" w:pos="1540"/>
        </w:tabs>
        <w:spacing w:before="3" w:line="280" w:lineRule="exact"/>
        <w:ind w:left="1540" w:right="112" w:hanging="360"/>
        <w:jc w:val="both"/>
        <w:rPr>
          <w:rFonts w:asciiTheme="minorHAnsi" w:eastAsia="Calibri" w:hAnsiTheme="minorHAnsi" w:cstheme="minorHAnsi"/>
          <w:sz w:val="24"/>
          <w:szCs w:val="24"/>
        </w:rPr>
      </w:pPr>
      <w:r w:rsidRPr="00EB17C6">
        <w:rPr>
          <w:rFonts w:asciiTheme="minorHAnsi" w:hAnsiTheme="minorHAnsi" w:cstheme="minorHAnsi"/>
          <w:sz w:val="24"/>
          <w:szCs w:val="24"/>
        </w:rPr>
        <w:tab/>
        <w:t>T</w:t>
      </w:r>
      <w:r w:rsidRPr="00EB17C6">
        <w:rPr>
          <w:rFonts w:asciiTheme="minorHAnsi" w:eastAsia="Calibri" w:hAnsiTheme="minorHAnsi" w:cstheme="minorHAnsi"/>
          <w:sz w:val="24"/>
          <w:szCs w:val="24"/>
        </w:rPr>
        <w:t>he guide offers parameters for discussion of sexual health issues. A sexual history needs to be taken during a patient's initial visit, during routine preventive exams, and when you see signs of sexually transmitted diseases (STDs). The dialogue lends itself to the opportunity for risk-reduction counseling and sharing information about behaviors that may place your patient at risk of contracting STDs. A sexual history allows you to identify those individuals at risk for syphilis and other STDs, including HIV, and to identify appropriate anatomical sites for certain STD tests.</w:t>
      </w:r>
    </w:p>
    <w:p w14:paraId="3284AB75" w14:textId="77777777" w:rsidR="00EB17C6" w:rsidRPr="00EB17C6" w:rsidRDefault="00EB17C6" w:rsidP="00EB17C6">
      <w:pPr>
        <w:ind w:left="820" w:right="257" w:hanging="360"/>
        <w:rPr>
          <w:rFonts w:asciiTheme="minorHAnsi" w:eastAsia="Calibri" w:hAnsiTheme="minorHAnsi" w:cs="Calibri"/>
          <w:sz w:val="24"/>
          <w:szCs w:val="24"/>
        </w:rPr>
      </w:pPr>
      <w:r>
        <w:rPr>
          <w:rFonts w:asciiTheme="minorHAnsi" w:eastAsia="Calibri" w:hAnsiTheme="minorHAnsi" w:cs="Calibri"/>
          <w:spacing w:val="1"/>
          <w:sz w:val="24"/>
          <w:szCs w:val="24"/>
        </w:rPr>
        <w:t>3</w:t>
      </w:r>
      <w:r w:rsidRPr="00EB17C6">
        <w:rPr>
          <w:rFonts w:asciiTheme="minorHAnsi" w:eastAsia="Calibri" w:hAnsiTheme="minorHAnsi" w:cs="Calibri"/>
          <w:sz w:val="24"/>
          <w:szCs w:val="24"/>
        </w:rPr>
        <w:t xml:space="preserve">.  </w:t>
      </w:r>
      <w:r w:rsidRPr="00EB17C6">
        <w:rPr>
          <w:rFonts w:asciiTheme="minorHAnsi" w:eastAsia="Calibri" w:hAnsiTheme="minorHAnsi" w:cs="Calibri"/>
          <w:spacing w:val="15"/>
          <w:sz w:val="24"/>
          <w:szCs w:val="24"/>
        </w:rPr>
        <w:t xml:space="preserve"> </w:t>
      </w:r>
      <w:bookmarkStart w:id="0" w:name="_Hlk501608872"/>
      <w:r w:rsidRPr="00EB17C6">
        <w:rPr>
          <w:rFonts w:asciiTheme="minorHAnsi" w:eastAsia="Calibri" w:hAnsiTheme="minorHAnsi" w:cs="Calibri"/>
          <w:sz w:val="24"/>
          <w:szCs w:val="24"/>
        </w:rPr>
        <w:t xml:space="preserve">American Psychiatric Association. (2013). Diagnostic and statistical manual of mental disorders (5th ed.). Washington, DC: Author. Retrieved from: </w:t>
      </w:r>
      <w:hyperlink r:id="rId14" w:history="1">
        <w:r w:rsidRPr="00EB17C6">
          <w:rPr>
            <w:rStyle w:val="Hyperlink"/>
            <w:rFonts w:asciiTheme="minorHAnsi" w:eastAsia="Calibri" w:hAnsiTheme="minorHAnsi" w:cs="Calibri"/>
            <w:color w:val="auto"/>
            <w:sz w:val="24"/>
            <w:szCs w:val="24"/>
          </w:rPr>
          <w:t>https://www.ptsd.va.gov/professional/ptsd-overview/dsm5_criteria_ptsd.asp</w:t>
        </w:r>
      </w:hyperlink>
    </w:p>
    <w:bookmarkEnd w:id="0"/>
    <w:p w14:paraId="26B27475" w14:textId="77777777" w:rsidR="00EB17C6" w:rsidRPr="00EB17C6" w:rsidRDefault="00EB17C6" w:rsidP="00EB17C6">
      <w:pPr>
        <w:tabs>
          <w:tab w:val="left" w:pos="1540"/>
        </w:tabs>
        <w:spacing w:before="3" w:line="280" w:lineRule="exact"/>
        <w:ind w:left="1540" w:right="112" w:hanging="360"/>
        <w:jc w:val="both"/>
        <w:rPr>
          <w:rFonts w:asciiTheme="minorHAnsi" w:eastAsia="Calibri" w:hAnsiTheme="minorHAnsi" w:cstheme="minorHAnsi"/>
          <w:sz w:val="24"/>
          <w:szCs w:val="24"/>
        </w:rPr>
      </w:pPr>
      <w:r w:rsidRPr="00EB17C6">
        <w:rPr>
          <w:rFonts w:asciiTheme="minorHAnsi" w:hAnsiTheme="minorHAnsi"/>
          <w:sz w:val="24"/>
          <w:szCs w:val="24"/>
        </w:rPr>
        <w:tab/>
      </w:r>
      <w:r w:rsidRPr="00EB17C6">
        <w:rPr>
          <w:rFonts w:asciiTheme="minorHAnsi" w:eastAsia="Calibri" w:hAnsiTheme="minorHAnsi" w:cs="Calibri"/>
          <w:sz w:val="24"/>
          <w:szCs w:val="24"/>
        </w:rPr>
        <w:t>In 2013, the American Psychiatric Association revised the PTSD diagnostic criteria in the fifth edition of its </w:t>
      </w:r>
      <w:r w:rsidRPr="00EB17C6">
        <w:rPr>
          <w:rFonts w:asciiTheme="minorHAnsi" w:eastAsia="Calibri" w:hAnsiTheme="minorHAnsi" w:cs="Calibri"/>
          <w:i/>
          <w:iCs/>
          <w:sz w:val="24"/>
          <w:szCs w:val="24"/>
        </w:rPr>
        <w:t>Diagnostic and Statistical Manual of Mental Disorders</w:t>
      </w:r>
      <w:r w:rsidRPr="00EB17C6">
        <w:rPr>
          <w:rFonts w:asciiTheme="minorHAnsi" w:eastAsia="Calibri" w:hAnsiTheme="minorHAnsi" w:cs="Calibri"/>
          <w:sz w:val="24"/>
          <w:szCs w:val="24"/>
        </w:rPr>
        <w:t> (</w:t>
      </w:r>
      <w:r w:rsidRPr="00EB17C6">
        <w:rPr>
          <w:rFonts w:asciiTheme="minorHAnsi" w:eastAsia="Calibri" w:hAnsiTheme="minorHAnsi" w:cs="Calibri"/>
          <w:i/>
          <w:iCs/>
          <w:sz w:val="24"/>
          <w:szCs w:val="24"/>
        </w:rPr>
        <w:t>DSM-5)</w:t>
      </w:r>
      <w:r w:rsidRPr="00EB17C6">
        <w:rPr>
          <w:rFonts w:asciiTheme="minorHAnsi" w:eastAsia="Calibri" w:hAnsiTheme="minorHAnsi" w:cs="Calibri"/>
          <w:sz w:val="24"/>
          <w:szCs w:val="24"/>
        </w:rPr>
        <w:t>; 1). PTSD is included in a new category in </w:t>
      </w:r>
      <w:r w:rsidRPr="00EB17C6">
        <w:rPr>
          <w:rFonts w:asciiTheme="minorHAnsi" w:eastAsia="Calibri" w:hAnsiTheme="minorHAnsi" w:cs="Calibri"/>
          <w:i/>
          <w:iCs/>
          <w:sz w:val="24"/>
          <w:szCs w:val="24"/>
        </w:rPr>
        <w:t>DSM-5</w:t>
      </w:r>
      <w:r w:rsidRPr="00EB17C6">
        <w:rPr>
          <w:rFonts w:asciiTheme="minorHAnsi" w:eastAsia="Calibri" w:hAnsiTheme="minorHAnsi" w:cs="Calibri"/>
          <w:sz w:val="24"/>
          <w:szCs w:val="24"/>
        </w:rPr>
        <w:t xml:space="preserve">, Trauma- and Stressor-Related Disorders. All of the conditions included in this classification require exposure to a traumatic or stressful event as a diagnostic </w:t>
      </w:r>
      <w:r w:rsidRPr="00EB17C6">
        <w:rPr>
          <w:rFonts w:asciiTheme="minorHAnsi" w:eastAsia="Calibri" w:hAnsiTheme="minorHAnsi" w:cstheme="minorHAnsi"/>
          <w:sz w:val="24"/>
          <w:szCs w:val="24"/>
        </w:rPr>
        <w:t>criterion. </w:t>
      </w:r>
    </w:p>
    <w:p w14:paraId="272A74E3" w14:textId="77777777" w:rsidR="00EB17C6" w:rsidRPr="00EB17C6" w:rsidRDefault="00EB17C6" w:rsidP="00EB17C6">
      <w:pPr>
        <w:ind w:left="820" w:right="257" w:hanging="360"/>
        <w:rPr>
          <w:rFonts w:asciiTheme="minorHAnsi" w:eastAsia="Calibri" w:hAnsiTheme="minorHAnsi" w:cs="Calibri"/>
          <w:sz w:val="24"/>
          <w:szCs w:val="24"/>
        </w:rPr>
      </w:pPr>
      <w:r>
        <w:rPr>
          <w:rFonts w:asciiTheme="minorHAnsi" w:eastAsia="Calibri" w:hAnsiTheme="minorHAnsi" w:cs="Calibri"/>
          <w:spacing w:val="1"/>
          <w:sz w:val="24"/>
          <w:szCs w:val="24"/>
        </w:rPr>
        <w:t>4</w:t>
      </w:r>
      <w:r w:rsidRPr="00EB17C6">
        <w:rPr>
          <w:rFonts w:asciiTheme="minorHAnsi" w:eastAsia="Calibri" w:hAnsiTheme="minorHAnsi" w:cs="Calibri"/>
          <w:sz w:val="24"/>
          <w:szCs w:val="24"/>
        </w:rPr>
        <w:t xml:space="preserve">.  </w:t>
      </w:r>
      <w:r w:rsidRPr="00EB17C6">
        <w:rPr>
          <w:rFonts w:asciiTheme="minorHAnsi" w:eastAsia="Calibri" w:hAnsiTheme="minorHAnsi" w:cs="Calibri"/>
          <w:spacing w:val="15"/>
          <w:sz w:val="24"/>
          <w:szCs w:val="24"/>
        </w:rPr>
        <w:t xml:space="preserve"> </w:t>
      </w:r>
      <w:r w:rsidRPr="00EB17C6">
        <w:rPr>
          <w:rFonts w:asciiTheme="minorHAnsi" w:eastAsia="Calibri" w:hAnsiTheme="minorHAnsi" w:cs="Calibri"/>
          <w:sz w:val="24"/>
          <w:szCs w:val="24"/>
        </w:rPr>
        <w:t xml:space="preserve">The Joint Commission. (2016). Implicit bias in health care. </w:t>
      </w:r>
      <w:r w:rsidRPr="00EB17C6">
        <w:rPr>
          <w:rFonts w:asciiTheme="minorHAnsi" w:eastAsia="Calibri" w:hAnsiTheme="minorHAnsi" w:cs="Calibri"/>
          <w:i/>
          <w:sz w:val="24"/>
          <w:szCs w:val="24"/>
        </w:rPr>
        <w:t xml:space="preserve">Quick Safety. </w:t>
      </w:r>
      <w:r w:rsidRPr="00EB17C6">
        <w:rPr>
          <w:rFonts w:asciiTheme="minorHAnsi" w:eastAsia="Calibri" w:hAnsiTheme="minorHAnsi" w:cs="Calibri"/>
          <w:sz w:val="24"/>
          <w:szCs w:val="24"/>
        </w:rPr>
        <w:t>Retrieved from: https://www.jointcommission.org/assets/1/23/Quick_Safety_Issue_23_Apr_2016.pdf.</w:t>
      </w:r>
    </w:p>
    <w:p w14:paraId="22D2EDC7" w14:textId="77777777" w:rsidR="00EB17C6" w:rsidRPr="00EB17C6" w:rsidRDefault="00EB17C6" w:rsidP="00EB17C6">
      <w:pPr>
        <w:tabs>
          <w:tab w:val="left" w:pos="1540"/>
        </w:tabs>
        <w:spacing w:before="3" w:line="280" w:lineRule="exact"/>
        <w:ind w:left="1540" w:right="112" w:hanging="360"/>
        <w:rPr>
          <w:rFonts w:asciiTheme="minorHAnsi" w:eastAsia="Calibri" w:hAnsiTheme="minorHAnsi" w:cs="Calibri"/>
          <w:sz w:val="24"/>
          <w:szCs w:val="24"/>
        </w:rPr>
      </w:pPr>
      <w:r w:rsidRPr="00EB17C6">
        <w:rPr>
          <w:rFonts w:asciiTheme="minorHAnsi" w:hAnsiTheme="minorHAnsi"/>
          <w:sz w:val="24"/>
          <w:szCs w:val="24"/>
        </w:rPr>
        <w:tab/>
      </w:r>
      <w:r w:rsidRPr="00EB17C6">
        <w:rPr>
          <w:rFonts w:asciiTheme="minorHAnsi" w:eastAsia="Calibri" w:hAnsiTheme="minorHAnsi" w:cs="Calibri"/>
          <w:sz w:val="24"/>
          <w:szCs w:val="24"/>
        </w:rPr>
        <w:t>The purpose of this issue is to discuss the impact of implicit bias on patient safety. Bias in clinical decision-making does</w:t>
      </w:r>
    </w:p>
    <w:p w14:paraId="10F89F72" w14:textId="77777777" w:rsidR="00EB17C6" w:rsidRPr="00EB17C6" w:rsidRDefault="00EB17C6" w:rsidP="00EB17C6">
      <w:pPr>
        <w:tabs>
          <w:tab w:val="left" w:pos="1540"/>
        </w:tabs>
        <w:spacing w:before="3" w:line="280" w:lineRule="exact"/>
        <w:ind w:left="1540" w:right="112" w:hanging="360"/>
        <w:rPr>
          <w:rFonts w:asciiTheme="minorHAnsi" w:eastAsia="Calibri" w:hAnsiTheme="minorHAnsi" w:cs="Calibri"/>
          <w:sz w:val="24"/>
          <w:szCs w:val="24"/>
        </w:rPr>
      </w:pPr>
      <w:r w:rsidRPr="00EB17C6">
        <w:rPr>
          <w:rFonts w:asciiTheme="minorHAnsi" w:eastAsia="Calibri" w:hAnsiTheme="minorHAnsi" w:cs="Calibri"/>
          <w:sz w:val="24"/>
          <w:szCs w:val="24"/>
        </w:rPr>
        <w:tab/>
        <w:t xml:space="preserve">result in overuse or underuse problems that can directly lead to patient harm.  </w:t>
      </w:r>
    </w:p>
    <w:p w14:paraId="2D099C13" w14:textId="77777777" w:rsidR="00EB17C6" w:rsidRPr="00EB17C6" w:rsidRDefault="00EB17C6" w:rsidP="00EB17C6">
      <w:pPr>
        <w:spacing w:before="1"/>
        <w:rPr>
          <w:rFonts w:asciiTheme="minorHAnsi" w:eastAsia="Calibri" w:hAnsiTheme="minorHAnsi" w:cs="Calibri"/>
          <w:sz w:val="24"/>
          <w:szCs w:val="24"/>
        </w:rPr>
      </w:pPr>
    </w:p>
    <w:p w14:paraId="64B55F90" w14:textId="77777777" w:rsidR="00EB17C6" w:rsidRPr="00EB17C6" w:rsidRDefault="00EB17C6" w:rsidP="00EB17C6">
      <w:pPr>
        <w:ind w:left="100"/>
        <w:rPr>
          <w:rFonts w:asciiTheme="minorHAnsi" w:eastAsia="Calibri" w:hAnsiTheme="minorHAnsi" w:cs="Calibri"/>
          <w:b/>
          <w:spacing w:val="-1"/>
          <w:sz w:val="24"/>
          <w:szCs w:val="24"/>
          <w:u w:val="single" w:color="000000"/>
        </w:rPr>
      </w:pPr>
      <w:r w:rsidRPr="00EB17C6">
        <w:rPr>
          <w:rFonts w:asciiTheme="minorHAnsi" w:eastAsia="Calibri" w:hAnsiTheme="minorHAnsi" w:cs="Calibri"/>
          <w:b/>
          <w:spacing w:val="-1"/>
          <w:sz w:val="24"/>
          <w:szCs w:val="24"/>
          <w:u w:val="single" w:color="000000"/>
        </w:rPr>
        <w:t>Books</w:t>
      </w:r>
    </w:p>
    <w:p w14:paraId="1D200F46" w14:textId="77777777" w:rsidR="00EB17C6" w:rsidRPr="00EB17C6" w:rsidRDefault="00EB17C6" w:rsidP="00EB17C6">
      <w:pPr>
        <w:ind w:left="820" w:right="257" w:hanging="360"/>
        <w:rPr>
          <w:rFonts w:asciiTheme="minorHAnsi" w:eastAsia="Calibri" w:hAnsiTheme="minorHAnsi" w:cs="Calibri"/>
          <w:spacing w:val="1"/>
          <w:sz w:val="24"/>
          <w:szCs w:val="24"/>
        </w:rPr>
      </w:pPr>
    </w:p>
    <w:p w14:paraId="71F6C2D9" w14:textId="77777777" w:rsidR="00EB17C6" w:rsidRPr="00EB17C6" w:rsidRDefault="00EB17C6" w:rsidP="00EB17C6">
      <w:pPr>
        <w:ind w:left="820" w:right="257" w:hanging="360"/>
        <w:rPr>
          <w:rFonts w:asciiTheme="minorHAnsi" w:hAnsiTheme="minorHAnsi" w:cstheme="minorHAnsi"/>
          <w:sz w:val="24"/>
          <w:szCs w:val="24"/>
          <w:shd w:val="clear" w:color="auto" w:fill="FFFFFF"/>
        </w:rPr>
      </w:pPr>
      <w:r>
        <w:rPr>
          <w:rFonts w:asciiTheme="minorHAnsi" w:eastAsia="Calibri" w:hAnsiTheme="minorHAnsi" w:cs="Calibri"/>
          <w:spacing w:val="1"/>
          <w:sz w:val="24"/>
          <w:szCs w:val="24"/>
        </w:rPr>
        <w:t>1</w:t>
      </w:r>
      <w:r w:rsidRPr="00EB17C6">
        <w:rPr>
          <w:rFonts w:asciiTheme="minorHAnsi" w:eastAsia="Calibri" w:hAnsiTheme="minorHAnsi" w:cs="Calibri"/>
          <w:sz w:val="24"/>
          <w:szCs w:val="24"/>
        </w:rPr>
        <w:t xml:space="preserve">.  </w:t>
      </w:r>
      <w:r w:rsidRPr="00EB17C6">
        <w:rPr>
          <w:rFonts w:asciiTheme="minorHAnsi" w:eastAsia="Calibri" w:hAnsiTheme="minorHAnsi" w:cs="Calibri"/>
          <w:spacing w:val="15"/>
          <w:sz w:val="24"/>
          <w:szCs w:val="24"/>
        </w:rPr>
        <w:t xml:space="preserve"> </w:t>
      </w:r>
      <w:r w:rsidRPr="00EB17C6">
        <w:rPr>
          <w:rFonts w:asciiTheme="minorHAnsi" w:eastAsia="Calibri" w:hAnsiTheme="minorHAnsi" w:cstheme="minorHAnsi"/>
          <w:sz w:val="24"/>
          <w:szCs w:val="24"/>
        </w:rPr>
        <w:t>McCormack, B. &amp; McCance, T. (2010). Person-</w:t>
      </w:r>
      <w:proofErr w:type="spellStart"/>
      <w:r w:rsidRPr="00EB17C6">
        <w:rPr>
          <w:rFonts w:asciiTheme="minorHAnsi" w:eastAsia="Calibri" w:hAnsiTheme="minorHAnsi" w:cstheme="minorHAnsi"/>
          <w:sz w:val="24"/>
          <w:szCs w:val="24"/>
        </w:rPr>
        <w:t>centred</w:t>
      </w:r>
      <w:proofErr w:type="spellEnd"/>
      <w:r w:rsidRPr="00EB17C6">
        <w:rPr>
          <w:rFonts w:asciiTheme="minorHAnsi" w:eastAsia="Calibri" w:hAnsiTheme="minorHAnsi" w:cstheme="minorHAnsi"/>
          <w:sz w:val="24"/>
          <w:szCs w:val="24"/>
        </w:rPr>
        <w:t xml:space="preserve"> Nursing: Theory and Practice. Oxford: Wiley Blackwell. </w:t>
      </w:r>
      <w:r w:rsidRPr="00EB17C6">
        <w:rPr>
          <w:rFonts w:asciiTheme="minorHAnsi" w:hAnsiTheme="minorHAnsi" w:cstheme="minorHAnsi"/>
          <w:sz w:val="24"/>
          <w:szCs w:val="24"/>
          <w:shd w:val="clear" w:color="auto" w:fill="FFFFFF"/>
        </w:rPr>
        <w:t>DOI: 10.1002/9781444390506.ch6</w:t>
      </w:r>
    </w:p>
    <w:p w14:paraId="229DF78B" w14:textId="77777777" w:rsidR="00EB17C6" w:rsidRPr="00EB17C6" w:rsidRDefault="00EB17C6" w:rsidP="00EB17C6">
      <w:pPr>
        <w:ind w:left="1440"/>
        <w:jc w:val="both"/>
        <w:rPr>
          <w:rFonts w:asciiTheme="minorHAnsi" w:eastAsia="Calibri" w:hAnsiTheme="minorHAnsi" w:cstheme="minorHAnsi"/>
          <w:sz w:val="24"/>
          <w:szCs w:val="24"/>
        </w:rPr>
      </w:pPr>
      <w:r w:rsidRPr="00EB17C6">
        <w:rPr>
          <w:rFonts w:asciiTheme="minorHAnsi" w:hAnsiTheme="minorHAnsi" w:cstheme="minorHAnsi"/>
          <w:i/>
          <w:sz w:val="24"/>
          <w:szCs w:val="24"/>
          <w:bdr w:val="none" w:sz="0" w:space="0" w:color="auto" w:frame="1"/>
          <w:shd w:val="clear" w:color="auto" w:fill="FFFFFF"/>
        </w:rPr>
        <w:lastRenderedPageBreak/>
        <w:t>Person-</w:t>
      </w:r>
      <w:proofErr w:type="spellStart"/>
      <w:r w:rsidRPr="00EB17C6">
        <w:rPr>
          <w:rFonts w:asciiTheme="minorHAnsi" w:hAnsiTheme="minorHAnsi" w:cstheme="minorHAnsi"/>
          <w:i/>
          <w:sz w:val="24"/>
          <w:szCs w:val="24"/>
          <w:bdr w:val="none" w:sz="0" w:space="0" w:color="auto" w:frame="1"/>
          <w:shd w:val="clear" w:color="auto" w:fill="FFFFFF"/>
        </w:rPr>
        <w:t>centred</w:t>
      </w:r>
      <w:proofErr w:type="spellEnd"/>
      <w:r w:rsidRPr="00EB17C6">
        <w:rPr>
          <w:rFonts w:asciiTheme="minorHAnsi" w:hAnsiTheme="minorHAnsi" w:cstheme="minorHAnsi"/>
          <w:i/>
          <w:sz w:val="24"/>
          <w:szCs w:val="24"/>
          <w:bdr w:val="none" w:sz="0" w:space="0" w:color="auto" w:frame="1"/>
          <w:shd w:val="clear" w:color="auto" w:fill="FFFFFF"/>
        </w:rPr>
        <w:t xml:space="preserve"> Nursing</w:t>
      </w:r>
      <w:r w:rsidRPr="00EB17C6">
        <w:rPr>
          <w:rFonts w:asciiTheme="minorHAnsi" w:hAnsiTheme="minorHAnsi" w:cstheme="minorHAnsi"/>
          <w:sz w:val="24"/>
          <w:szCs w:val="24"/>
          <w:bdr w:val="none" w:sz="0" w:space="0" w:color="auto" w:frame="1"/>
          <w:shd w:val="clear" w:color="auto" w:fill="FFFFFF"/>
        </w:rPr>
        <w:t> is a theoretically rigorous and practically applied text that aims to increase nurses' understanding of the principles and practices of person-</w:t>
      </w:r>
      <w:proofErr w:type="spellStart"/>
      <w:r w:rsidRPr="00EB17C6">
        <w:rPr>
          <w:rFonts w:asciiTheme="minorHAnsi" w:hAnsiTheme="minorHAnsi" w:cstheme="minorHAnsi"/>
          <w:sz w:val="24"/>
          <w:szCs w:val="24"/>
          <w:bdr w:val="none" w:sz="0" w:space="0" w:color="auto" w:frame="1"/>
          <w:shd w:val="clear" w:color="auto" w:fill="FFFFFF"/>
        </w:rPr>
        <w:t>centred</w:t>
      </w:r>
      <w:proofErr w:type="spellEnd"/>
      <w:r w:rsidRPr="00EB17C6">
        <w:rPr>
          <w:rFonts w:asciiTheme="minorHAnsi" w:hAnsiTheme="minorHAnsi" w:cstheme="minorHAnsi"/>
          <w:sz w:val="24"/>
          <w:szCs w:val="24"/>
          <w:bdr w:val="none" w:sz="0" w:space="0" w:color="auto" w:frame="1"/>
          <w:shd w:val="clear" w:color="auto" w:fill="FFFFFF"/>
        </w:rPr>
        <w:t xml:space="preserve"> nursing in a multi-professional context. It advances new understandings of person-</w:t>
      </w:r>
      <w:proofErr w:type="spellStart"/>
      <w:r w:rsidRPr="00EB17C6">
        <w:rPr>
          <w:rFonts w:asciiTheme="minorHAnsi" w:hAnsiTheme="minorHAnsi" w:cstheme="minorHAnsi"/>
          <w:sz w:val="24"/>
          <w:szCs w:val="24"/>
          <w:bdr w:val="none" w:sz="0" w:space="0" w:color="auto" w:frame="1"/>
          <w:shd w:val="clear" w:color="auto" w:fill="FFFFFF"/>
        </w:rPr>
        <w:t>centred</w:t>
      </w:r>
      <w:proofErr w:type="spellEnd"/>
      <w:r w:rsidRPr="00EB17C6">
        <w:rPr>
          <w:rFonts w:asciiTheme="minorHAnsi" w:hAnsiTheme="minorHAnsi" w:cstheme="minorHAnsi"/>
          <w:sz w:val="24"/>
          <w:szCs w:val="24"/>
          <w:bdr w:val="none" w:sz="0" w:space="0" w:color="auto" w:frame="1"/>
          <w:shd w:val="clear" w:color="auto" w:fill="FFFFFF"/>
        </w:rPr>
        <w:t xml:space="preserve"> nursing concepts and theories through the presentation of an inductively derived and tested framework for person-</w:t>
      </w:r>
      <w:proofErr w:type="spellStart"/>
      <w:r w:rsidRPr="00EB17C6">
        <w:rPr>
          <w:rFonts w:asciiTheme="minorHAnsi" w:hAnsiTheme="minorHAnsi" w:cstheme="minorHAnsi"/>
          <w:sz w:val="24"/>
          <w:szCs w:val="24"/>
          <w:bdr w:val="none" w:sz="0" w:space="0" w:color="auto" w:frame="1"/>
          <w:shd w:val="clear" w:color="auto" w:fill="FFFFFF"/>
        </w:rPr>
        <w:t>centred</w:t>
      </w:r>
      <w:proofErr w:type="spellEnd"/>
      <w:r w:rsidRPr="00EB17C6">
        <w:rPr>
          <w:rFonts w:asciiTheme="minorHAnsi" w:hAnsiTheme="minorHAnsi" w:cstheme="minorHAnsi"/>
          <w:sz w:val="24"/>
          <w:szCs w:val="24"/>
          <w:bdr w:val="none" w:sz="0" w:space="0" w:color="auto" w:frame="1"/>
          <w:shd w:val="clear" w:color="auto" w:fill="FFFFFF"/>
        </w:rPr>
        <w:t xml:space="preserve"> nursing. In addition, it explores a variety of strategies for developing person-</w:t>
      </w:r>
      <w:proofErr w:type="spellStart"/>
      <w:r w:rsidRPr="00EB17C6">
        <w:rPr>
          <w:rFonts w:asciiTheme="minorHAnsi" w:hAnsiTheme="minorHAnsi" w:cstheme="minorHAnsi"/>
          <w:sz w:val="24"/>
          <w:szCs w:val="24"/>
          <w:bdr w:val="none" w:sz="0" w:space="0" w:color="auto" w:frame="1"/>
          <w:shd w:val="clear" w:color="auto" w:fill="FFFFFF"/>
        </w:rPr>
        <w:t>centred</w:t>
      </w:r>
      <w:proofErr w:type="spellEnd"/>
      <w:r w:rsidRPr="00EB17C6">
        <w:rPr>
          <w:rFonts w:asciiTheme="minorHAnsi" w:hAnsiTheme="minorHAnsi" w:cstheme="minorHAnsi"/>
          <w:sz w:val="24"/>
          <w:szCs w:val="24"/>
          <w:bdr w:val="none" w:sz="0" w:space="0" w:color="auto" w:frame="1"/>
          <w:shd w:val="clear" w:color="auto" w:fill="FFFFFF"/>
        </w:rPr>
        <w:t xml:space="preserve"> nursing and presents case examples of the concept in action.</w:t>
      </w:r>
    </w:p>
    <w:p w14:paraId="212E5AF3" w14:textId="77777777" w:rsidR="00EB17C6" w:rsidRPr="00EB17C6" w:rsidRDefault="00EB17C6" w:rsidP="00EB17C6">
      <w:pPr>
        <w:ind w:left="820" w:right="257" w:hanging="360"/>
        <w:rPr>
          <w:rFonts w:asciiTheme="minorHAnsi" w:eastAsia="Calibri" w:hAnsiTheme="minorHAnsi" w:cs="Calibri"/>
          <w:sz w:val="24"/>
          <w:szCs w:val="24"/>
        </w:rPr>
      </w:pPr>
      <w:r>
        <w:rPr>
          <w:rFonts w:asciiTheme="minorHAnsi" w:eastAsia="Calibri" w:hAnsiTheme="minorHAnsi" w:cs="Calibri"/>
          <w:spacing w:val="1"/>
          <w:sz w:val="24"/>
          <w:szCs w:val="24"/>
        </w:rPr>
        <w:t>2</w:t>
      </w:r>
      <w:r w:rsidRPr="00EB17C6">
        <w:rPr>
          <w:rFonts w:asciiTheme="minorHAnsi" w:eastAsia="Calibri" w:hAnsiTheme="minorHAnsi" w:cs="Calibri"/>
          <w:sz w:val="24"/>
          <w:szCs w:val="24"/>
        </w:rPr>
        <w:t xml:space="preserve">.  </w:t>
      </w:r>
      <w:r w:rsidRPr="00EB17C6">
        <w:rPr>
          <w:rFonts w:asciiTheme="minorHAnsi" w:eastAsia="Calibri" w:hAnsiTheme="minorHAnsi" w:cs="Calibri"/>
          <w:spacing w:val="15"/>
          <w:sz w:val="24"/>
          <w:szCs w:val="24"/>
        </w:rPr>
        <w:t xml:space="preserve"> </w:t>
      </w:r>
      <w:r w:rsidRPr="00EB17C6">
        <w:rPr>
          <w:rFonts w:asciiTheme="minorHAnsi" w:eastAsia="Calibri" w:hAnsiTheme="minorHAnsi" w:cs="Calibri"/>
          <w:sz w:val="24"/>
          <w:szCs w:val="24"/>
        </w:rPr>
        <w:t>Brian D. Smedley, Adrienne Y. Stith, and Alan R. Nelson, Editors. (2002). Unequal Treatment: Confronting Racial and Ethnic Disparities in Health Care. Washington, DC: Institute of Medicine</w:t>
      </w:r>
    </w:p>
    <w:p w14:paraId="0A63F2C0" w14:textId="77777777" w:rsidR="00EB17C6" w:rsidRPr="00EB17C6" w:rsidRDefault="00EB17C6" w:rsidP="00EB17C6">
      <w:pPr>
        <w:tabs>
          <w:tab w:val="left" w:pos="1540"/>
        </w:tabs>
        <w:spacing w:before="3" w:line="280" w:lineRule="exact"/>
        <w:ind w:left="1540" w:right="112" w:hanging="360"/>
        <w:jc w:val="both"/>
        <w:rPr>
          <w:rFonts w:asciiTheme="minorHAnsi" w:eastAsia="Calibri" w:hAnsiTheme="minorHAnsi" w:cs="Calibri"/>
          <w:sz w:val="24"/>
          <w:szCs w:val="24"/>
        </w:rPr>
      </w:pPr>
      <w:r w:rsidRPr="00EB17C6">
        <w:rPr>
          <w:rFonts w:asciiTheme="minorHAnsi" w:hAnsiTheme="minorHAnsi"/>
          <w:sz w:val="24"/>
          <w:szCs w:val="24"/>
        </w:rPr>
        <w:tab/>
      </w:r>
      <w:r w:rsidRPr="00EB17C6">
        <w:rPr>
          <w:rFonts w:asciiTheme="minorHAnsi" w:eastAsia="Calibri" w:hAnsiTheme="minorHAnsi" w:cs="Calibri"/>
          <w:sz w:val="24"/>
          <w:szCs w:val="24"/>
        </w:rPr>
        <w:t xml:space="preserve">Racial and ethnic disparities in health care are known to reflect access to care and other issues that arise from differing socioeconomic conditions. There is, however, increasing evidence that even after such differences are accounted for, race and ethnicity remain significant predictors of the quality of health care received. In Unequal Treatment, a panel of experts documents this evidence and explores how persons of color experience the health care environment. The book examines how disparities in treatment may arise in health care systems and looks at aspects of the clinical encounter that may contribute to such disparities. Patients' and providers' attitudes, expectations, and behavior are analyzed. How to intervene? Unequal Treatment offers recommendations for improvements in medical care financing, allocation of care, availability of language translation, community-based care, and other arenas. The committee highlights the potential of cross-cultural education to improve provider-patient communication and offers a detailed look at how to integrate cross-cultural learning within the health professions. The book concludes with recommendations for data collection and research initiatives. Unequal Treatment will be vitally important to health care policymakers, administrators, providers, educators, and students as well as advocates for people of color. </w:t>
      </w:r>
    </w:p>
    <w:p w14:paraId="37645464" w14:textId="77777777" w:rsidR="00EB17C6" w:rsidRPr="00EB17C6" w:rsidRDefault="00EB17C6" w:rsidP="00EB17C6">
      <w:pPr>
        <w:ind w:left="820" w:right="257" w:hanging="360"/>
        <w:rPr>
          <w:rFonts w:asciiTheme="minorHAnsi" w:hAnsiTheme="minorHAnsi"/>
          <w:sz w:val="24"/>
          <w:szCs w:val="24"/>
        </w:rPr>
      </w:pPr>
      <w:r>
        <w:rPr>
          <w:rFonts w:asciiTheme="minorHAnsi" w:eastAsia="Calibri" w:hAnsiTheme="minorHAnsi" w:cs="Calibri"/>
          <w:spacing w:val="1"/>
          <w:sz w:val="24"/>
          <w:szCs w:val="24"/>
        </w:rPr>
        <w:t>3</w:t>
      </w:r>
      <w:r w:rsidRPr="00EB17C6">
        <w:rPr>
          <w:rFonts w:asciiTheme="minorHAnsi" w:eastAsia="Calibri" w:hAnsiTheme="minorHAnsi" w:cs="Calibri"/>
          <w:sz w:val="24"/>
          <w:szCs w:val="24"/>
        </w:rPr>
        <w:t xml:space="preserve">.  </w:t>
      </w:r>
      <w:r w:rsidRPr="00EB17C6">
        <w:rPr>
          <w:rFonts w:asciiTheme="minorHAnsi" w:eastAsia="Calibri" w:hAnsiTheme="minorHAnsi" w:cs="Calibri"/>
          <w:spacing w:val="15"/>
          <w:sz w:val="24"/>
          <w:szCs w:val="24"/>
        </w:rPr>
        <w:t xml:space="preserve"> </w:t>
      </w:r>
      <w:r w:rsidRPr="00EB17C6">
        <w:rPr>
          <w:rFonts w:asciiTheme="minorHAnsi" w:eastAsia="Calibri" w:hAnsiTheme="minorHAnsi" w:cs="Calibri"/>
          <w:sz w:val="24"/>
          <w:szCs w:val="24"/>
        </w:rPr>
        <w:t>Byrd WM, Clayton LA. (2010). An American health dilemma: Race, medicine, and healthcare in the United States 1900–2000. New York: Routledge; 2000.</w:t>
      </w:r>
      <w:r w:rsidRPr="00EB17C6">
        <w:rPr>
          <w:rFonts w:asciiTheme="minorHAnsi" w:hAnsiTheme="minorHAnsi"/>
          <w:sz w:val="24"/>
          <w:szCs w:val="24"/>
        </w:rPr>
        <w:tab/>
      </w:r>
    </w:p>
    <w:p w14:paraId="1F06535A" w14:textId="77777777" w:rsidR="00EB17C6" w:rsidRPr="00EB17C6" w:rsidRDefault="00EB17C6" w:rsidP="00EB17C6">
      <w:pPr>
        <w:ind w:left="1440"/>
        <w:jc w:val="both"/>
        <w:rPr>
          <w:rFonts w:asciiTheme="minorHAnsi" w:eastAsia="Calibri" w:hAnsiTheme="minorHAnsi" w:cs="Calibri"/>
          <w:sz w:val="24"/>
          <w:szCs w:val="24"/>
        </w:rPr>
      </w:pPr>
      <w:r w:rsidRPr="00EB17C6">
        <w:rPr>
          <w:rFonts w:asciiTheme="minorHAnsi" w:eastAsia="Calibri" w:hAnsiTheme="minorHAnsi" w:cs="Calibri"/>
          <w:sz w:val="24"/>
          <w:szCs w:val="24"/>
        </w:rPr>
        <w:t xml:space="preserve">In this follow-up to the path-breaking An American Health Dilemma: A Medical History of African Americans and the Problem of Race (LJ 8/00), the authors, both senior research scientists at the Harvard School of Public Health, complete their study of African American healthcare. While the first book concentrated on issues before 1900, this volume's statistic-packed and thoroughly documented narrative explores 20th-century advances in healthcare, the development of the insurance industry, declining support for public health, and the myriad social and economic factors that have had disparate impacts on the health of black Americans. Continuing a troubling theme from their first volume, the authors also probe the effects of racism in the medical professions, which led to pernicious eugenics theories and shocking medical experiments well into the 20th century. Both volumes of this landmark study are essential for medical and African American studies collections.   </w:t>
      </w:r>
    </w:p>
    <w:p w14:paraId="50B86110" w14:textId="77777777" w:rsidR="00DC3A0A" w:rsidRPr="00EB17C6" w:rsidRDefault="00DC3A0A" w:rsidP="00EB17C6">
      <w:pPr>
        <w:spacing w:before="3" w:line="259" w:lineRule="auto"/>
        <w:ind w:right="3920"/>
        <w:rPr>
          <w:rFonts w:asciiTheme="minorHAnsi" w:eastAsia="Calibri" w:hAnsiTheme="minorHAnsi" w:cs="Calibri"/>
          <w:sz w:val="24"/>
          <w:szCs w:val="24"/>
        </w:rPr>
      </w:pPr>
    </w:p>
    <w:sectPr w:rsidR="00DC3A0A" w:rsidRPr="00EB17C6">
      <w:pgSz w:w="17000" w:h="15840" w:orient="landscape"/>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31D1"/>
    <w:multiLevelType w:val="hybridMultilevel"/>
    <w:tmpl w:val="8F72A78E"/>
    <w:lvl w:ilvl="0" w:tplc="ED7EB514">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15:restartNumberingAfterBreak="0">
    <w:nsid w:val="1913292F"/>
    <w:multiLevelType w:val="hybridMultilevel"/>
    <w:tmpl w:val="5BE28B76"/>
    <w:lvl w:ilvl="0" w:tplc="0409000F">
      <w:start w:val="1"/>
      <w:numFmt w:val="decimal"/>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 w15:restartNumberingAfterBreak="0">
    <w:nsid w:val="44B757A4"/>
    <w:multiLevelType w:val="multilevel"/>
    <w:tmpl w:val="D08C15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74215BFB"/>
    <w:multiLevelType w:val="hybridMultilevel"/>
    <w:tmpl w:val="8F72A78E"/>
    <w:lvl w:ilvl="0" w:tplc="ED7EB514">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78441AF8"/>
    <w:multiLevelType w:val="hybridMultilevel"/>
    <w:tmpl w:val="BA6C7A42"/>
    <w:lvl w:ilvl="0" w:tplc="0409000F">
      <w:start w:val="1"/>
      <w:numFmt w:val="decimal"/>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0A"/>
    <w:rsid w:val="000F57C1"/>
    <w:rsid w:val="0014498C"/>
    <w:rsid w:val="001E08A6"/>
    <w:rsid w:val="002335D9"/>
    <w:rsid w:val="00257D91"/>
    <w:rsid w:val="003E656A"/>
    <w:rsid w:val="003F7762"/>
    <w:rsid w:val="004374F5"/>
    <w:rsid w:val="007170FF"/>
    <w:rsid w:val="00775A23"/>
    <w:rsid w:val="007B2C8D"/>
    <w:rsid w:val="007F5466"/>
    <w:rsid w:val="00A07C02"/>
    <w:rsid w:val="00AD22A7"/>
    <w:rsid w:val="00AE1D97"/>
    <w:rsid w:val="00B23812"/>
    <w:rsid w:val="00B3220B"/>
    <w:rsid w:val="00B47BD4"/>
    <w:rsid w:val="00CA5C00"/>
    <w:rsid w:val="00D20FDE"/>
    <w:rsid w:val="00DC3A0A"/>
    <w:rsid w:val="00DC448C"/>
    <w:rsid w:val="00E45404"/>
    <w:rsid w:val="00E720F5"/>
    <w:rsid w:val="00EB17C6"/>
    <w:rsid w:val="00FC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3FFA"/>
  <w15:docId w15:val="{FFA58824-EB53-408A-B3B5-9E5A13A1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7170FF"/>
    <w:rPr>
      <w:color w:val="0000FF" w:themeColor="hyperlink"/>
      <w:u w:val="single"/>
    </w:rPr>
  </w:style>
  <w:style w:type="character" w:styleId="UnresolvedMention">
    <w:name w:val="Unresolved Mention"/>
    <w:basedOn w:val="DefaultParagraphFont"/>
    <w:uiPriority w:val="99"/>
    <w:semiHidden/>
    <w:unhideWhenUsed/>
    <w:rsid w:val="007170FF"/>
    <w:rPr>
      <w:color w:val="808080"/>
      <w:shd w:val="clear" w:color="auto" w:fill="E6E6E6"/>
    </w:rPr>
  </w:style>
  <w:style w:type="paragraph" w:styleId="ListParagraph">
    <w:name w:val="List Paragraph"/>
    <w:basedOn w:val="Normal"/>
    <w:uiPriority w:val="34"/>
    <w:qFormat/>
    <w:rsid w:val="002335D9"/>
    <w:pPr>
      <w:ind w:left="720"/>
      <w:contextualSpacing/>
    </w:pPr>
  </w:style>
  <w:style w:type="paragraph" w:styleId="NormalWeb">
    <w:name w:val="Normal (Web)"/>
    <w:basedOn w:val="Normal"/>
    <w:uiPriority w:val="99"/>
    <w:semiHidden/>
    <w:unhideWhenUsed/>
    <w:rsid w:val="002335D9"/>
    <w:rPr>
      <w:sz w:val="24"/>
      <w:szCs w:val="24"/>
    </w:rPr>
  </w:style>
  <w:style w:type="paragraph" w:styleId="NoSpacing">
    <w:name w:val="No Spacing"/>
    <w:uiPriority w:val="1"/>
    <w:qFormat/>
    <w:rsid w:val="001E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6297">
      <w:bodyDiv w:val="1"/>
      <w:marLeft w:val="0"/>
      <w:marRight w:val="0"/>
      <w:marTop w:val="0"/>
      <w:marBottom w:val="0"/>
      <w:divBdr>
        <w:top w:val="none" w:sz="0" w:space="0" w:color="auto"/>
        <w:left w:val="none" w:sz="0" w:space="0" w:color="auto"/>
        <w:bottom w:val="none" w:sz="0" w:space="0" w:color="auto"/>
        <w:right w:val="none" w:sz="0" w:space="0" w:color="auto"/>
      </w:divBdr>
    </w:div>
    <w:div w:id="110172004">
      <w:bodyDiv w:val="1"/>
      <w:marLeft w:val="0"/>
      <w:marRight w:val="0"/>
      <w:marTop w:val="0"/>
      <w:marBottom w:val="0"/>
      <w:divBdr>
        <w:top w:val="none" w:sz="0" w:space="0" w:color="auto"/>
        <w:left w:val="none" w:sz="0" w:space="0" w:color="auto"/>
        <w:bottom w:val="none" w:sz="0" w:space="0" w:color="auto"/>
        <w:right w:val="none" w:sz="0" w:space="0" w:color="auto"/>
      </w:divBdr>
    </w:div>
    <w:div w:id="369721126">
      <w:bodyDiv w:val="1"/>
      <w:marLeft w:val="0"/>
      <w:marRight w:val="0"/>
      <w:marTop w:val="0"/>
      <w:marBottom w:val="0"/>
      <w:divBdr>
        <w:top w:val="none" w:sz="0" w:space="0" w:color="auto"/>
        <w:left w:val="none" w:sz="0" w:space="0" w:color="auto"/>
        <w:bottom w:val="none" w:sz="0" w:space="0" w:color="auto"/>
        <w:right w:val="none" w:sz="0" w:space="0" w:color="auto"/>
      </w:divBdr>
    </w:div>
    <w:div w:id="544409446">
      <w:bodyDiv w:val="1"/>
      <w:marLeft w:val="0"/>
      <w:marRight w:val="0"/>
      <w:marTop w:val="0"/>
      <w:marBottom w:val="0"/>
      <w:divBdr>
        <w:top w:val="none" w:sz="0" w:space="0" w:color="auto"/>
        <w:left w:val="none" w:sz="0" w:space="0" w:color="auto"/>
        <w:bottom w:val="none" w:sz="0" w:space="0" w:color="auto"/>
        <w:right w:val="none" w:sz="0" w:space="0" w:color="auto"/>
      </w:divBdr>
    </w:div>
    <w:div w:id="615261872">
      <w:bodyDiv w:val="1"/>
      <w:marLeft w:val="0"/>
      <w:marRight w:val="0"/>
      <w:marTop w:val="0"/>
      <w:marBottom w:val="0"/>
      <w:divBdr>
        <w:top w:val="none" w:sz="0" w:space="0" w:color="auto"/>
        <w:left w:val="none" w:sz="0" w:space="0" w:color="auto"/>
        <w:bottom w:val="none" w:sz="0" w:space="0" w:color="auto"/>
        <w:right w:val="none" w:sz="0" w:space="0" w:color="auto"/>
      </w:divBdr>
    </w:div>
    <w:div w:id="1168251740">
      <w:bodyDiv w:val="1"/>
      <w:marLeft w:val="0"/>
      <w:marRight w:val="0"/>
      <w:marTop w:val="0"/>
      <w:marBottom w:val="0"/>
      <w:divBdr>
        <w:top w:val="none" w:sz="0" w:space="0" w:color="auto"/>
        <w:left w:val="none" w:sz="0" w:space="0" w:color="auto"/>
        <w:bottom w:val="none" w:sz="0" w:space="0" w:color="auto"/>
        <w:right w:val="none" w:sz="0" w:space="0" w:color="auto"/>
      </w:divBdr>
    </w:div>
    <w:div w:id="1417899294">
      <w:bodyDiv w:val="1"/>
      <w:marLeft w:val="0"/>
      <w:marRight w:val="0"/>
      <w:marTop w:val="0"/>
      <w:marBottom w:val="0"/>
      <w:divBdr>
        <w:top w:val="none" w:sz="0" w:space="0" w:color="auto"/>
        <w:left w:val="none" w:sz="0" w:space="0" w:color="auto"/>
        <w:bottom w:val="none" w:sz="0" w:space="0" w:color="auto"/>
        <w:right w:val="none" w:sz="0" w:space="0" w:color="auto"/>
      </w:divBdr>
    </w:div>
    <w:div w:id="1483623672">
      <w:bodyDiv w:val="1"/>
      <w:marLeft w:val="0"/>
      <w:marRight w:val="0"/>
      <w:marTop w:val="0"/>
      <w:marBottom w:val="0"/>
      <w:divBdr>
        <w:top w:val="none" w:sz="0" w:space="0" w:color="auto"/>
        <w:left w:val="none" w:sz="0" w:space="0" w:color="auto"/>
        <w:bottom w:val="none" w:sz="0" w:space="0" w:color="auto"/>
        <w:right w:val="none" w:sz="0" w:space="0" w:color="auto"/>
      </w:divBdr>
      <w:divsChild>
        <w:div w:id="775756454">
          <w:marLeft w:val="0"/>
          <w:marRight w:val="0"/>
          <w:marTop w:val="0"/>
          <w:marBottom w:val="0"/>
          <w:divBdr>
            <w:top w:val="none" w:sz="0" w:space="0" w:color="auto"/>
            <w:left w:val="none" w:sz="0" w:space="0" w:color="auto"/>
            <w:bottom w:val="none" w:sz="0" w:space="0" w:color="auto"/>
            <w:right w:val="none" w:sz="0" w:space="0" w:color="auto"/>
          </w:divBdr>
        </w:div>
      </w:divsChild>
    </w:div>
    <w:div w:id="1626497191">
      <w:bodyDiv w:val="1"/>
      <w:marLeft w:val="0"/>
      <w:marRight w:val="0"/>
      <w:marTop w:val="0"/>
      <w:marBottom w:val="0"/>
      <w:divBdr>
        <w:top w:val="none" w:sz="0" w:space="0" w:color="auto"/>
        <w:left w:val="none" w:sz="0" w:space="0" w:color="auto"/>
        <w:bottom w:val="none" w:sz="0" w:space="0" w:color="auto"/>
        <w:right w:val="none" w:sz="0" w:space="0" w:color="auto"/>
      </w:divBdr>
    </w:div>
    <w:div w:id="1757632964">
      <w:bodyDiv w:val="1"/>
      <w:marLeft w:val="0"/>
      <w:marRight w:val="0"/>
      <w:marTop w:val="0"/>
      <w:marBottom w:val="0"/>
      <w:divBdr>
        <w:top w:val="none" w:sz="0" w:space="0" w:color="auto"/>
        <w:left w:val="none" w:sz="0" w:space="0" w:color="auto"/>
        <w:bottom w:val="none" w:sz="0" w:space="0" w:color="auto"/>
        <w:right w:val="none" w:sz="0" w:space="0" w:color="auto"/>
      </w:divBdr>
    </w:div>
    <w:div w:id="1760712795">
      <w:bodyDiv w:val="1"/>
      <w:marLeft w:val="0"/>
      <w:marRight w:val="0"/>
      <w:marTop w:val="0"/>
      <w:marBottom w:val="0"/>
      <w:divBdr>
        <w:top w:val="none" w:sz="0" w:space="0" w:color="auto"/>
        <w:left w:val="none" w:sz="0" w:space="0" w:color="auto"/>
        <w:bottom w:val="none" w:sz="0" w:space="0" w:color="auto"/>
        <w:right w:val="none" w:sz="0" w:space="0" w:color="auto"/>
      </w:divBdr>
    </w:div>
    <w:div w:id="1820153239">
      <w:bodyDiv w:val="1"/>
      <w:marLeft w:val="0"/>
      <w:marRight w:val="0"/>
      <w:marTop w:val="0"/>
      <w:marBottom w:val="0"/>
      <w:divBdr>
        <w:top w:val="none" w:sz="0" w:space="0" w:color="auto"/>
        <w:left w:val="none" w:sz="0" w:space="0" w:color="auto"/>
        <w:bottom w:val="none" w:sz="0" w:space="0" w:color="auto"/>
        <w:right w:val="none" w:sz="0" w:space="0" w:color="auto"/>
      </w:divBdr>
      <w:divsChild>
        <w:div w:id="1869443746">
          <w:marLeft w:val="0"/>
          <w:marRight w:val="0"/>
          <w:marTop w:val="0"/>
          <w:marBottom w:val="0"/>
          <w:divBdr>
            <w:top w:val="none" w:sz="0" w:space="0" w:color="auto"/>
            <w:left w:val="none" w:sz="0" w:space="0" w:color="auto"/>
            <w:bottom w:val="none" w:sz="0" w:space="0" w:color="auto"/>
            <w:right w:val="none" w:sz="0" w:space="0" w:color="auto"/>
          </w:divBdr>
        </w:div>
      </w:divsChild>
    </w:div>
    <w:div w:id="1850413884">
      <w:bodyDiv w:val="1"/>
      <w:marLeft w:val="0"/>
      <w:marRight w:val="0"/>
      <w:marTop w:val="0"/>
      <w:marBottom w:val="0"/>
      <w:divBdr>
        <w:top w:val="none" w:sz="0" w:space="0" w:color="auto"/>
        <w:left w:val="none" w:sz="0" w:space="0" w:color="auto"/>
        <w:bottom w:val="none" w:sz="0" w:space="0" w:color="auto"/>
        <w:right w:val="none" w:sz="0" w:space="0" w:color="auto"/>
      </w:divBdr>
    </w:div>
    <w:div w:id="1887372157">
      <w:bodyDiv w:val="1"/>
      <w:marLeft w:val="0"/>
      <w:marRight w:val="0"/>
      <w:marTop w:val="0"/>
      <w:marBottom w:val="0"/>
      <w:divBdr>
        <w:top w:val="none" w:sz="0" w:space="0" w:color="auto"/>
        <w:left w:val="none" w:sz="0" w:space="0" w:color="auto"/>
        <w:bottom w:val="none" w:sz="0" w:space="0" w:color="auto"/>
        <w:right w:val="none" w:sz="0" w:space="0" w:color="auto"/>
      </w:divBdr>
    </w:div>
    <w:div w:id="1924879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tsd.va.gov/professional/assessment/screens/pc-ptsd.as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521/aeap.2011.23.3_supp.1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x.doi.org/10.2105/AJPH.2015.30287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doi.org/10.2105/AJPH.2011.300530" TargetMode="External"/><Relationship Id="rId4" Type="http://schemas.openxmlformats.org/officeDocument/2006/relationships/numbering" Target="numbering.xml"/><Relationship Id="rId9" Type="http://schemas.openxmlformats.org/officeDocument/2006/relationships/hyperlink" Target="http://psycnet.apa.org/doi/10.1177/0095798499025002005" TargetMode="External"/><Relationship Id="rId14" Type="http://schemas.openxmlformats.org/officeDocument/2006/relationships/hyperlink" Target="https://www.ptsd.va.gov/professional/ptsd-overview/dsm5_criteria_pts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C4FC7623AF6C4BB343DF906F871D68" ma:contentTypeVersion="10" ma:contentTypeDescription="Create a new document." ma:contentTypeScope="" ma:versionID="64f5e55ac7f93d5af65bf7e96b87346a">
  <xsd:schema xmlns:xsd="http://www.w3.org/2001/XMLSchema" xmlns:xs="http://www.w3.org/2001/XMLSchema" xmlns:p="http://schemas.microsoft.com/office/2006/metadata/properties" xmlns:ns2="95034a0c-b3b4-46f3-b50f-033e5eedcbd1" xmlns:ns3="ad82ae81-ee64-4f74-b6b8-25437747f770" targetNamespace="http://schemas.microsoft.com/office/2006/metadata/properties" ma:root="true" ma:fieldsID="8d6c0e691a44bd6810a4db49347401df" ns2:_="" ns3:_="">
    <xsd:import namespace="95034a0c-b3b4-46f3-b50f-033e5eedcbd1"/>
    <xsd:import namespace="ad82ae81-ee64-4f74-b6b8-25437747f7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34a0c-b3b4-46f3-b50f-033e5eedcb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2ae81-ee64-4f74-b6b8-25437747f7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393D5-7D37-4AC3-962C-E6822EDDA3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19353C-6623-44B2-8612-F96FD089A695}">
  <ds:schemaRefs>
    <ds:schemaRef ds:uri="http://schemas.microsoft.com/sharepoint/v3/contenttype/forms"/>
  </ds:schemaRefs>
</ds:datastoreItem>
</file>

<file path=customXml/itemProps3.xml><?xml version="1.0" encoding="utf-8"?>
<ds:datastoreItem xmlns:ds="http://schemas.openxmlformats.org/officeDocument/2006/customXml" ds:itemID="{027E645B-D47C-48E0-BDE5-9E01D9265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34a0c-b3b4-46f3-b50f-033e5eedcbd1"/>
    <ds:schemaRef ds:uri="ad82ae81-ee64-4f74-b6b8-25437747f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3407</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Milanes Morejon</dc:creator>
  <cp:lastModifiedBy>Alan Gambrell</cp:lastModifiedBy>
  <cp:revision>2</cp:revision>
  <dcterms:created xsi:type="dcterms:W3CDTF">2021-01-28T23:00:00Z</dcterms:created>
  <dcterms:modified xsi:type="dcterms:W3CDTF">2021-01-28T23:00:00Z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0x010100DBC4FC7623AF6C4BB343DF906F871D68</vt:lpwstr>
  </property>
</Properties>
</file>