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8C156" w14:textId="77777777" w:rsidR="00DC3A0A" w:rsidRDefault="00DC3A0A">
      <w:pPr>
        <w:spacing w:line="200" w:lineRule="exact"/>
      </w:pPr>
      <w:bookmarkStart w:id="0" w:name="_GoBack"/>
      <w:bookmarkEnd w:id="0"/>
    </w:p>
    <w:p w14:paraId="5F5DC566" w14:textId="77777777" w:rsidR="00DC3A0A" w:rsidRDefault="00DC3A0A">
      <w:pPr>
        <w:spacing w:line="200" w:lineRule="exact"/>
      </w:pPr>
    </w:p>
    <w:p w14:paraId="2B6ACCFF" w14:textId="77777777" w:rsidR="00DC3A0A" w:rsidRDefault="00DC3A0A">
      <w:pPr>
        <w:spacing w:before="6" w:line="240" w:lineRule="exact"/>
        <w:rPr>
          <w:sz w:val="24"/>
          <w:szCs w:val="24"/>
        </w:rPr>
      </w:pPr>
    </w:p>
    <w:p w14:paraId="3B471E8A" w14:textId="77777777" w:rsidR="00DC3A0A" w:rsidRDefault="00585866">
      <w:pPr>
        <w:ind w:left="2471"/>
      </w:pPr>
      <w:r>
        <w:pict w14:anchorId="4C707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55.4pt">
            <v:imagedata r:id="rId5" o:title=""/>
          </v:shape>
        </w:pict>
      </w:r>
    </w:p>
    <w:p w14:paraId="326B6E0C" w14:textId="77777777" w:rsidR="00DC3A0A" w:rsidRDefault="00DC3A0A">
      <w:pPr>
        <w:spacing w:before="5" w:line="100" w:lineRule="exact"/>
        <w:rPr>
          <w:sz w:val="10"/>
          <w:szCs w:val="10"/>
        </w:rPr>
      </w:pPr>
    </w:p>
    <w:p w14:paraId="5E699AFF" w14:textId="77777777" w:rsidR="00DC3A0A" w:rsidRDefault="00DC3A0A">
      <w:pPr>
        <w:spacing w:line="200" w:lineRule="exact"/>
      </w:pPr>
    </w:p>
    <w:p w14:paraId="146C2445" w14:textId="77777777" w:rsidR="00DC3A0A" w:rsidRDefault="00DC3A0A">
      <w:pPr>
        <w:spacing w:line="200" w:lineRule="exact"/>
      </w:pPr>
    </w:p>
    <w:p w14:paraId="13B839AB" w14:textId="77777777" w:rsidR="00DC3A0A" w:rsidRDefault="00DC3A0A">
      <w:pPr>
        <w:spacing w:line="200" w:lineRule="exact"/>
      </w:pPr>
    </w:p>
    <w:p w14:paraId="1D891D5B" w14:textId="77777777" w:rsidR="00DC3A0A" w:rsidRDefault="00DC3A0A">
      <w:pPr>
        <w:spacing w:line="200" w:lineRule="exact"/>
      </w:pPr>
    </w:p>
    <w:p w14:paraId="3037E36F" w14:textId="3CB4B102" w:rsidR="00DC3A0A" w:rsidRDefault="004374F5">
      <w:pPr>
        <w:spacing w:line="460" w:lineRule="exact"/>
        <w:ind w:left="1985" w:right="1924"/>
        <w:jc w:val="center"/>
        <w:rPr>
          <w:rFonts w:ascii="Calibri" w:eastAsia="Calibri" w:hAnsi="Calibri" w:cs="Calibri"/>
          <w:sz w:val="40"/>
          <w:szCs w:val="40"/>
        </w:rPr>
      </w:pPr>
      <w:r>
        <w:rPr>
          <w:rFonts w:ascii="Calibri" w:eastAsia="Calibri" w:hAnsi="Calibri" w:cs="Calibri"/>
          <w:b/>
          <w:position w:val="1"/>
          <w:sz w:val="40"/>
          <w:szCs w:val="40"/>
        </w:rPr>
        <w:t>His He</w:t>
      </w:r>
      <w:r>
        <w:rPr>
          <w:rFonts w:ascii="Calibri" w:eastAsia="Calibri" w:hAnsi="Calibri" w:cs="Calibri"/>
          <w:b/>
          <w:spacing w:val="-2"/>
          <w:position w:val="1"/>
          <w:sz w:val="40"/>
          <w:szCs w:val="40"/>
        </w:rPr>
        <w:t>a</w:t>
      </w:r>
      <w:r>
        <w:rPr>
          <w:rFonts w:ascii="Calibri" w:eastAsia="Calibri" w:hAnsi="Calibri" w:cs="Calibri"/>
          <w:b/>
          <w:position w:val="1"/>
          <w:sz w:val="40"/>
          <w:szCs w:val="40"/>
        </w:rPr>
        <w:t xml:space="preserve">lth </w:t>
      </w:r>
      <w:proofErr w:type="spellStart"/>
      <w:r w:rsidR="0060430C">
        <w:rPr>
          <w:rFonts w:ascii="Calibri" w:eastAsia="Calibri" w:hAnsi="Calibri" w:cs="Calibri"/>
          <w:b/>
          <w:position w:val="1"/>
          <w:sz w:val="40"/>
          <w:szCs w:val="40"/>
        </w:rPr>
        <w:t>PrEP</w:t>
      </w:r>
      <w:proofErr w:type="spellEnd"/>
      <w:r>
        <w:rPr>
          <w:rFonts w:ascii="Calibri" w:eastAsia="Calibri" w:hAnsi="Calibri" w:cs="Calibri"/>
          <w:b/>
          <w:position w:val="1"/>
          <w:sz w:val="40"/>
          <w:szCs w:val="40"/>
        </w:rPr>
        <w:t xml:space="preserve"> 2.0</w:t>
      </w:r>
      <w:r>
        <w:rPr>
          <w:rFonts w:ascii="Calibri" w:eastAsia="Calibri" w:hAnsi="Calibri" w:cs="Calibri"/>
          <w:b/>
          <w:spacing w:val="5"/>
          <w:position w:val="1"/>
          <w:sz w:val="40"/>
          <w:szCs w:val="40"/>
        </w:rPr>
        <w:t xml:space="preserve"> </w:t>
      </w:r>
      <w:r>
        <w:rPr>
          <w:rFonts w:ascii="Calibri" w:eastAsia="Calibri" w:hAnsi="Calibri" w:cs="Calibri"/>
          <w:b/>
          <w:position w:val="1"/>
          <w:sz w:val="40"/>
          <w:szCs w:val="40"/>
        </w:rPr>
        <w:t>CM</w:t>
      </w:r>
      <w:r>
        <w:rPr>
          <w:rFonts w:ascii="Calibri" w:eastAsia="Calibri" w:hAnsi="Calibri" w:cs="Calibri"/>
          <w:b/>
          <w:spacing w:val="-4"/>
          <w:position w:val="1"/>
          <w:sz w:val="40"/>
          <w:szCs w:val="40"/>
        </w:rPr>
        <w:t>E</w:t>
      </w:r>
      <w:r>
        <w:rPr>
          <w:rFonts w:ascii="Calibri" w:eastAsia="Calibri" w:hAnsi="Calibri" w:cs="Calibri"/>
          <w:b/>
          <w:position w:val="1"/>
          <w:sz w:val="40"/>
          <w:szCs w:val="40"/>
        </w:rPr>
        <w:t>/CNE</w:t>
      </w:r>
    </w:p>
    <w:p w14:paraId="6B1CD5B7" w14:textId="77777777" w:rsidR="00DC3A0A" w:rsidRDefault="00DC3A0A">
      <w:pPr>
        <w:spacing w:before="1" w:line="200" w:lineRule="exact"/>
      </w:pPr>
    </w:p>
    <w:p w14:paraId="4C3FB6C1" w14:textId="77777777" w:rsidR="00DC3A0A" w:rsidRDefault="004374F5">
      <w:pPr>
        <w:ind w:left="5230" w:right="5168"/>
        <w:jc w:val="center"/>
        <w:rPr>
          <w:rFonts w:ascii="Calibri" w:eastAsia="Calibri" w:hAnsi="Calibri" w:cs="Calibri"/>
          <w:sz w:val="40"/>
          <w:szCs w:val="40"/>
        </w:rPr>
      </w:pPr>
      <w:r>
        <w:rPr>
          <w:rFonts w:ascii="Calibri" w:eastAsia="Calibri" w:hAnsi="Calibri" w:cs="Calibri"/>
          <w:b/>
          <w:sz w:val="40"/>
          <w:szCs w:val="40"/>
        </w:rPr>
        <w:t>Supple</w:t>
      </w:r>
      <w:r>
        <w:rPr>
          <w:rFonts w:ascii="Calibri" w:eastAsia="Calibri" w:hAnsi="Calibri" w:cs="Calibri"/>
          <w:b/>
          <w:spacing w:val="-2"/>
          <w:sz w:val="40"/>
          <w:szCs w:val="40"/>
        </w:rPr>
        <w:t>m</w:t>
      </w:r>
      <w:r>
        <w:rPr>
          <w:rFonts w:ascii="Calibri" w:eastAsia="Calibri" w:hAnsi="Calibri" w:cs="Calibri"/>
          <w:b/>
          <w:sz w:val="40"/>
          <w:szCs w:val="40"/>
        </w:rPr>
        <w:t>ental</w:t>
      </w:r>
      <w:r>
        <w:rPr>
          <w:rFonts w:ascii="Calibri" w:eastAsia="Calibri" w:hAnsi="Calibri" w:cs="Calibri"/>
          <w:b/>
          <w:spacing w:val="-2"/>
          <w:sz w:val="40"/>
          <w:szCs w:val="40"/>
        </w:rPr>
        <w:t xml:space="preserve"> </w:t>
      </w:r>
      <w:r>
        <w:rPr>
          <w:rFonts w:ascii="Calibri" w:eastAsia="Calibri" w:hAnsi="Calibri" w:cs="Calibri"/>
          <w:b/>
          <w:sz w:val="40"/>
          <w:szCs w:val="40"/>
        </w:rPr>
        <w:t>Re</w:t>
      </w:r>
      <w:r>
        <w:rPr>
          <w:rFonts w:ascii="Calibri" w:eastAsia="Calibri" w:hAnsi="Calibri" w:cs="Calibri"/>
          <w:b/>
          <w:spacing w:val="-1"/>
          <w:sz w:val="40"/>
          <w:szCs w:val="40"/>
        </w:rPr>
        <w:t>a</w:t>
      </w:r>
      <w:r>
        <w:rPr>
          <w:rFonts w:ascii="Calibri" w:eastAsia="Calibri" w:hAnsi="Calibri" w:cs="Calibri"/>
          <w:b/>
          <w:sz w:val="40"/>
          <w:szCs w:val="40"/>
        </w:rPr>
        <w:t>di</w:t>
      </w:r>
      <w:r>
        <w:rPr>
          <w:rFonts w:ascii="Calibri" w:eastAsia="Calibri" w:hAnsi="Calibri" w:cs="Calibri"/>
          <w:b/>
          <w:spacing w:val="1"/>
          <w:sz w:val="40"/>
          <w:szCs w:val="40"/>
        </w:rPr>
        <w:t>n</w:t>
      </w:r>
      <w:r>
        <w:rPr>
          <w:rFonts w:ascii="Calibri" w:eastAsia="Calibri" w:hAnsi="Calibri" w:cs="Calibri"/>
          <w:b/>
          <w:sz w:val="40"/>
          <w:szCs w:val="40"/>
        </w:rPr>
        <w:t>g</w:t>
      </w:r>
    </w:p>
    <w:p w14:paraId="4352EBE5" w14:textId="77777777" w:rsidR="00DC3A0A" w:rsidRDefault="00DC3A0A">
      <w:pPr>
        <w:spacing w:before="7" w:line="180" w:lineRule="exact"/>
        <w:rPr>
          <w:sz w:val="19"/>
          <w:szCs w:val="19"/>
        </w:rPr>
      </w:pPr>
    </w:p>
    <w:p w14:paraId="1ED4BC74" w14:textId="1E7CAB97" w:rsidR="007602EE" w:rsidRDefault="004374F5" w:rsidP="007602EE">
      <w:pPr>
        <w:ind w:left="100"/>
        <w:rPr>
          <w:rFonts w:asciiTheme="minorHAnsi" w:eastAsia="Calibri" w:hAnsiTheme="minorHAnsi" w:cs="Calibri"/>
          <w:sz w:val="24"/>
          <w:szCs w:val="24"/>
        </w:rPr>
      </w:pPr>
      <w:r w:rsidRPr="00EB17C6">
        <w:rPr>
          <w:rFonts w:asciiTheme="minorHAnsi" w:eastAsia="Calibri" w:hAnsiTheme="minorHAnsi" w:cs="Calibri"/>
          <w:b/>
          <w:spacing w:val="-1"/>
          <w:sz w:val="24"/>
          <w:szCs w:val="24"/>
          <w:u w:val="single" w:color="000000"/>
        </w:rPr>
        <w:t>Re</w:t>
      </w:r>
      <w:r w:rsidRPr="00EB17C6">
        <w:rPr>
          <w:rFonts w:asciiTheme="minorHAnsi" w:eastAsia="Calibri" w:hAnsiTheme="minorHAnsi" w:cs="Calibri"/>
          <w:b/>
          <w:sz w:val="24"/>
          <w:szCs w:val="24"/>
          <w:u w:val="single" w:color="000000"/>
        </w:rPr>
        <w:t>se</w:t>
      </w:r>
      <w:r w:rsidRPr="00EB17C6">
        <w:rPr>
          <w:rFonts w:asciiTheme="minorHAnsi" w:eastAsia="Calibri" w:hAnsiTheme="minorHAnsi" w:cs="Calibri"/>
          <w:b/>
          <w:spacing w:val="-1"/>
          <w:sz w:val="24"/>
          <w:szCs w:val="24"/>
          <w:u w:val="single" w:color="000000"/>
        </w:rPr>
        <w:t>a</w:t>
      </w:r>
      <w:r w:rsidRPr="00EB17C6">
        <w:rPr>
          <w:rFonts w:asciiTheme="minorHAnsi" w:eastAsia="Calibri" w:hAnsiTheme="minorHAnsi" w:cs="Calibri"/>
          <w:b/>
          <w:spacing w:val="1"/>
          <w:sz w:val="24"/>
          <w:szCs w:val="24"/>
          <w:u w:val="single" w:color="000000"/>
        </w:rPr>
        <w:t>r</w:t>
      </w:r>
      <w:r w:rsidRPr="00EB17C6">
        <w:rPr>
          <w:rFonts w:asciiTheme="minorHAnsi" w:eastAsia="Calibri" w:hAnsiTheme="minorHAnsi" w:cs="Calibri"/>
          <w:b/>
          <w:sz w:val="24"/>
          <w:szCs w:val="24"/>
          <w:u w:val="single" w:color="000000"/>
        </w:rPr>
        <w:t>ch</w:t>
      </w:r>
      <w:r w:rsidRPr="00EB17C6">
        <w:rPr>
          <w:rFonts w:asciiTheme="minorHAnsi" w:eastAsia="Calibri" w:hAnsiTheme="minorHAnsi" w:cs="Calibri"/>
          <w:b/>
          <w:spacing w:val="2"/>
          <w:sz w:val="24"/>
          <w:szCs w:val="24"/>
          <w:u w:val="single" w:color="000000"/>
        </w:rPr>
        <w:t xml:space="preserve"> </w:t>
      </w:r>
      <w:r w:rsidRPr="00EB17C6">
        <w:rPr>
          <w:rFonts w:asciiTheme="minorHAnsi" w:eastAsia="Calibri" w:hAnsiTheme="minorHAnsi" w:cs="Calibri"/>
          <w:b/>
          <w:spacing w:val="1"/>
          <w:sz w:val="24"/>
          <w:szCs w:val="24"/>
          <w:u w:val="single" w:color="000000"/>
        </w:rPr>
        <w:t>Ar</w:t>
      </w:r>
      <w:r w:rsidRPr="00EB17C6">
        <w:rPr>
          <w:rFonts w:asciiTheme="minorHAnsi" w:eastAsia="Calibri" w:hAnsiTheme="minorHAnsi" w:cs="Calibri"/>
          <w:b/>
          <w:spacing w:val="-2"/>
          <w:sz w:val="24"/>
          <w:szCs w:val="24"/>
          <w:u w:val="single" w:color="000000"/>
        </w:rPr>
        <w:t>t</w:t>
      </w:r>
      <w:r w:rsidRPr="00EB17C6">
        <w:rPr>
          <w:rFonts w:asciiTheme="minorHAnsi" w:eastAsia="Calibri" w:hAnsiTheme="minorHAnsi" w:cs="Calibri"/>
          <w:b/>
          <w:spacing w:val="1"/>
          <w:sz w:val="24"/>
          <w:szCs w:val="24"/>
          <w:u w:val="single" w:color="000000"/>
        </w:rPr>
        <w:t>i</w:t>
      </w:r>
      <w:r w:rsidRPr="00EB17C6">
        <w:rPr>
          <w:rFonts w:asciiTheme="minorHAnsi" w:eastAsia="Calibri" w:hAnsiTheme="minorHAnsi" w:cs="Calibri"/>
          <w:b/>
          <w:sz w:val="24"/>
          <w:szCs w:val="24"/>
          <w:u w:val="single" w:color="000000"/>
        </w:rPr>
        <w:t>c</w:t>
      </w:r>
      <w:r w:rsidRPr="00EB17C6">
        <w:rPr>
          <w:rFonts w:asciiTheme="minorHAnsi" w:eastAsia="Calibri" w:hAnsiTheme="minorHAnsi" w:cs="Calibri"/>
          <w:b/>
          <w:spacing w:val="1"/>
          <w:sz w:val="24"/>
          <w:szCs w:val="24"/>
          <w:u w:val="single" w:color="000000"/>
        </w:rPr>
        <w:t>l</w:t>
      </w:r>
      <w:r w:rsidRPr="00EB17C6">
        <w:rPr>
          <w:rFonts w:asciiTheme="minorHAnsi" w:eastAsia="Calibri" w:hAnsiTheme="minorHAnsi" w:cs="Calibri"/>
          <w:b/>
          <w:spacing w:val="-1"/>
          <w:sz w:val="24"/>
          <w:szCs w:val="24"/>
          <w:u w:val="single" w:color="000000"/>
        </w:rPr>
        <w:t>e</w:t>
      </w:r>
      <w:r w:rsidRPr="00EB17C6">
        <w:rPr>
          <w:rFonts w:asciiTheme="minorHAnsi" w:eastAsia="Calibri" w:hAnsiTheme="minorHAnsi" w:cs="Calibri"/>
          <w:b/>
          <w:sz w:val="24"/>
          <w:szCs w:val="24"/>
          <w:u w:val="single" w:color="000000"/>
        </w:rPr>
        <w:t>s</w:t>
      </w:r>
    </w:p>
    <w:p w14:paraId="2FCF74FB" w14:textId="77777777" w:rsidR="007602EE" w:rsidRPr="007602EE" w:rsidRDefault="007602EE" w:rsidP="007602EE">
      <w:pPr>
        <w:ind w:left="100"/>
        <w:rPr>
          <w:rFonts w:asciiTheme="minorHAnsi" w:eastAsia="Calibri" w:hAnsiTheme="minorHAnsi" w:cs="Calibri"/>
          <w:sz w:val="24"/>
          <w:szCs w:val="24"/>
        </w:rPr>
      </w:pPr>
    </w:p>
    <w:p w14:paraId="5BD2CB98" w14:textId="71F58B20" w:rsidR="007602EE" w:rsidRPr="0049062C" w:rsidRDefault="007602EE" w:rsidP="002335D9">
      <w:pPr>
        <w:pStyle w:val="ListParagraph"/>
        <w:numPr>
          <w:ilvl w:val="0"/>
          <w:numId w:val="2"/>
        </w:numPr>
        <w:ind w:right="238"/>
        <w:rPr>
          <w:rFonts w:asciiTheme="minorHAnsi" w:eastAsia="Calibri" w:hAnsiTheme="minorHAnsi" w:cstheme="minorHAnsi"/>
          <w:spacing w:val="-1"/>
          <w:sz w:val="24"/>
          <w:szCs w:val="24"/>
        </w:rPr>
      </w:pPr>
      <w:r w:rsidRPr="0049062C">
        <w:rPr>
          <w:rFonts w:asciiTheme="minorHAnsi" w:hAnsiTheme="minorHAnsi" w:cstheme="minorHAnsi"/>
          <w:color w:val="303030"/>
          <w:sz w:val="24"/>
          <w:szCs w:val="24"/>
          <w:shd w:val="clear" w:color="auto" w:fill="FFFFFF"/>
        </w:rPr>
        <w:t xml:space="preserve">Tepper, V., </w:t>
      </w:r>
      <w:proofErr w:type="spellStart"/>
      <w:r w:rsidRPr="0049062C">
        <w:rPr>
          <w:rFonts w:asciiTheme="minorHAnsi" w:hAnsiTheme="minorHAnsi" w:cstheme="minorHAnsi"/>
          <w:color w:val="303030"/>
          <w:sz w:val="24"/>
          <w:szCs w:val="24"/>
          <w:shd w:val="clear" w:color="auto" w:fill="FFFFFF"/>
        </w:rPr>
        <w:t>Zaner</w:t>
      </w:r>
      <w:proofErr w:type="spellEnd"/>
      <w:r w:rsidRPr="0049062C">
        <w:rPr>
          <w:rFonts w:asciiTheme="minorHAnsi" w:hAnsiTheme="minorHAnsi" w:cstheme="minorHAnsi"/>
          <w:color w:val="303030"/>
          <w:sz w:val="24"/>
          <w:szCs w:val="24"/>
          <w:shd w:val="clear" w:color="auto" w:fill="FFFFFF"/>
        </w:rPr>
        <w:t xml:space="preserve">, S., &amp; </w:t>
      </w:r>
      <w:proofErr w:type="spellStart"/>
      <w:r w:rsidRPr="0049062C">
        <w:rPr>
          <w:rFonts w:asciiTheme="minorHAnsi" w:hAnsiTheme="minorHAnsi" w:cstheme="minorHAnsi"/>
          <w:color w:val="303030"/>
          <w:sz w:val="24"/>
          <w:szCs w:val="24"/>
          <w:shd w:val="clear" w:color="auto" w:fill="FFFFFF"/>
        </w:rPr>
        <w:t>Ryscavage</w:t>
      </w:r>
      <w:proofErr w:type="spellEnd"/>
      <w:r w:rsidRPr="0049062C">
        <w:rPr>
          <w:rFonts w:asciiTheme="minorHAnsi" w:hAnsiTheme="minorHAnsi" w:cstheme="minorHAnsi"/>
          <w:color w:val="303030"/>
          <w:sz w:val="24"/>
          <w:szCs w:val="24"/>
          <w:shd w:val="clear" w:color="auto" w:fill="FFFFFF"/>
        </w:rPr>
        <w:t>, P. (2017). HIV healthcare transition outcomes among youth in North America and Europe: a review. </w:t>
      </w:r>
      <w:r w:rsidRPr="0049062C">
        <w:rPr>
          <w:rFonts w:asciiTheme="minorHAnsi" w:hAnsiTheme="minorHAnsi" w:cstheme="minorHAnsi"/>
          <w:i/>
          <w:iCs/>
          <w:color w:val="303030"/>
          <w:sz w:val="24"/>
          <w:szCs w:val="24"/>
          <w:shd w:val="clear" w:color="auto" w:fill="FFFFFF"/>
        </w:rPr>
        <w:t>Journal of the International AIDS Society</w:t>
      </w:r>
      <w:r w:rsidRPr="0049062C">
        <w:rPr>
          <w:rFonts w:asciiTheme="minorHAnsi" w:hAnsiTheme="minorHAnsi" w:cstheme="minorHAnsi"/>
          <w:color w:val="303030"/>
          <w:sz w:val="24"/>
          <w:szCs w:val="24"/>
          <w:shd w:val="clear" w:color="auto" w:fill="FFFFFF"/>
        </w:rPr>
        <w:t>, </w:t>
      </w:r>
      <w:r w:rsidRPr="0049062C">
        <w:rPr>
          <w:rFonts w:asciiTheme="minorHAnsi" w:hAnsiTheme="minorHAnsi" w:cstheme="minorHAnsi"/>
          <w:i/>
          <w:iCs/>
          <w:color w:val="303030"/>
          <w:sz w:val="24"/>
          <w:szCs w:val="24"/>
          <w:shd w:val="clear" w:color="auto" w:fill="FFFFFF"/>
        </w:rPr>
        <w:t>20</w:t>
      </w:r>
      <w:r w:rsidRPr="0049062C">
        <w:rPr>
          <w:rFonts w:asciiTheme="minorHAnsi" w:hAnsiTheme="minorHAnsi" w:cstheme="minorHAnsi"/>
          <w:color w:val="303030"/>
          <w:sz w:val="24"/>
          <w:szCs w:val="24"/>
          <w:shd w:val="clear" w:color="auto" w:fill="FFFFFF"/>
        </w:rPr>
        <w:t>(Suppl 3), 21490. DOI: http://doi.org/10.7448/IAS.20.4.21490</w:t>
      </w:r>
    </w:p>
    <w:p w14:paraId="76F6E4C0" w14:textId="6D931196" w:rsidR="007602EE" w:rsidRDefault="004374F5" w:rsidP="007602EE">
      <w:pPr>
        <w:tabs>
          <w:tab w:val="left" w:pos="1540"/>
        </w:tabs>
        <w:spacing w:before="25" w:line="258" w:lineRule="auto"/>
        <w:ind w:left="1540" w:right="151" w:hanging="360"/>
        <w:jc w:val="both"/>
        <w:rPr>
          <w:rFonts w:asciiTheme="minorHAnsi" w:eastAsia="Calibri" w:hAnsiTheme="minorHAnsi" w:cs="Calibri"/>
          <w:sz w:val="24"/>
          <w:szCs w:val="24"/>
        </w:rPr>
      </w:pPr>
      <w:r w:rsidRPr="0049062C">
        <w:rPr>
          <w:rFonts w:asciiTheme="minorHAnsi" w:hAnsiTheme="minorHAnsi" w:cstheme="minorHAnsi"/>
          <w:sz w:val="24"/>
          <w:szCs w:val="24"/>
        </w:rPr>
        <w:tab/>
      </w:r>
      <w:r w:rsidR="007602EE" w:rsidRPr="0049062C">
        <w:rPr>
          <w:rFonts w:asciiTheme="minorHAnsi" w:eastAsia="Calibri" w:hAnsiTheme="minorHAnsi" w:cstheme="minorHAnsi"/>
          <w:sz w:val="24"/>
          <w:szCs w:val="24"/>
        </w:rPr>
        <w:t xml:space="preserve">The transition from </w:t>
      </w:r>
      <w:proofErr w:type="spellStart"/>
      <w:r w:rsidR="007602EE" w:rsidRPr="0049062C">
        <w:rPr>
          <w:rFonts w:asciiTheme="minorHAnsi" w:eastAsia="Calibri" w:hAnsiTheme="minorHAnsi" w:cstheme="minorHAnsi"/>
          <w:sz w:val="24"/>
          <w:szCs w:val="24"/>
        </w:rPr>
        <w:t>paediatric</w:t>
      </w:r>
      <w:proofErr w:type="spellEnd"/>
      <w:r w:rsidR="007602EE" w:rsidRPr="0049062C">
        <w:rPr>
          <w:rFonts w:asciiTheme="minorHAnsi" w:eastAsia="Calibri" w:hAnsiTheme="minorHAnsi" w:cstheme="minorHAnsi"/>
          <w:sz w:val="24"/>
          <w:szCs w:val="24"/>
        </w:rPr>
        <w:t xml:space="preserve"> to adult care poses risks to the health of young adults living with HIV if unsuccessful, including interruptions in care and poor health outcomes. Evolving best practices in HIV healthcare transition should ideally be informed by real-world qualitative and quantitative clinical healthcare transition outcomes. There has been a recent proliferation of HIV healthcare transition outcome research, largely</w:t>
      </w:r>
      <w:r w:rsidR="007602EE" w:rsidRPr="007602EE">
        <w:rPr>
          <w:rFonts w:asciiTheme="minorHAnsi" w:eastAsia="Calibri" w:hAnsiTheme="minorHAnsi" w:cs="Calibri"/>
          <w:sz w:val="24"/>
          <w:szCs w:val="24"/>
        </w:rPr>
        <w:t xml:space="preserve"> from Europe and North America.</w:t>
      </w:r>
      <w:r w:rsidR="007602EE">
        <w:rPr>
          <w:rFonts w:asciiTheme="minorHAnsi" w:eastAsia="Calibri" w:hAnsiTheme="minorHAnsi" w:cs="Calibri"/>
          <w:sz w:val="24"/>
          <w:szCs w:val="24"/>
        </w:rPr>
        <w:t xml:space="preserve"> </w:t>
      </w:r>
      <w:r w:rsidR="007602EE" w:rsidRPr="007602EE">
        <w:rPr>
          <w:rFonts w:asciiTheme="minorHAnsi" w:eastAsia="Calibri" w:hAnsiTheme="minorHAnsi" w:cs="Calibri"/>
          <w:sz w:val="24"/>
          <w:szCs w:val="24"/>
        </w:rPr>
        <w:t xml:space="preserve">In this paper, </w:t>
      </w:r>
      <w:r w:rsidR="007602EE">
        <w:rPr>
          <w:rFonts w:asciiTheme="minorHAnsi" w:eastAsia="Calibri" w:hAnsiTheme="minorHAnsi" w:cs="Calibri"/>
          <w:sz w:val="24"/>
          <w:szCs w:val="24"/>
        </w:rPr>
        <w:t>study investigators</w:t>
      </w:r>
      <w:r w:rsidR="007602EE" w:rsidRPr="007602EE">
        <w:rPr>
          <w:rFonts w:asciiTheme="minorHAnsi" w:eastAsia="Calibri" w:hAnsiTheme="minorHAnsi" w:cs="Calibri"/>
          <w:sz w:val="24"/>
          <w:szCs w:val="24"/>
        </w:rPr>
        <w:t xml:space="preserve"> review data on HIV healthcare transition outcomes in North America and Europe. Internal and external factors which may impact the success of HIV healthcare transition are examined. </w:t>
      </w:r>
      <w:r w:rsidR="007602EE">
        <w:rPr>
          <w:rFonts w:asciiTheme="minorHAnsi" w:eastAsia="Calibri" w:hAnsiTheme="minorHAnsi" w:cs="Calibri"/>
          <w:sz w:val="24"/>
          <w:szCs w:val="24"/>
        </w:rPr>
        <w:t>They</w:t>
      </w:r>
      <w:r w:rsidR="007602EE" w:rsidRPr="007602EE">
        <w:rPr>
          <w:rFonts w:asciiTheme="minorHAnsi" w:eastAsia="Calibri" w:hAnsiTheme="minorHAnsi" w:cs="Calibri"/>
          <w:sz w:val="24"/>
          <w:szCs w:val="24"/>
        </w:rPr>
        <w:t xml:space="preserve"> describe ongoing research efforts to capture transition outcomes in the North America and Europe. Clinical, operational, and implementation science research gaps that exist to date are highlighted. Efforts to improve HIV healthcare transition research through country-level surveillance networks and large </w:t>
      </w:r>
      <w:proofErr w:type="spellStart"/>
      <w:r w:rsidR="007602EE" w:rsidRPr="007602EE">
        <w:rPr>
          <w:rFonts w:asciiTheme="minorHAnsi" w:eastAsia="Calibri" w:hAnsiTheme="minorHAnsi" w:cs="Calibri"/>
          <w:sz w:val="24"/>
          <w:szCs w:val="24"/>
        </w:rPr>
        <w:t>multicentre</w:t>
      </w:r>
      <w:proofErr w:type="spellEnd"/>
      <w:r w:rsidR="007602EE" w:rsidRPr="007602EE">
        <w:rPr>
          <w:rFonts w:asciiTheme="minorHAnsi" w:eastAsia="Calibri" w:hAnsiTheme="minorHAnsi" w:cs="Calibri"/>
          <w:sz w:val="24"/>
          <w:szCs w:val="24"/>
        </w:rPr>
        <w:t xml:space="preserve"> cohorts, including data integration and linkage between </w:t>
      </w:r>
      <w:proofErr w:type="spellStart"/>
      <w:r w:rsidR="007602EE" w:rsidRPr="007602EE">
        <w:rPr>
          <w:rFonts w:asciiTheme="minorHAnsi" w:eastAsia="Calibri" w:hAnsiTheme="minorHAnsi" w:cs="Calibri"/>
          <w:sz w:val="24"/>
          <w:szCs w:val="24"/>
        </w:rPr>
        <w:t>p</w:t>
      </w:r>
      <w:r w:rsidR="007602EE">
        <w:rPr>
          <w:rFonts w:asciiTheme="minorHAnsi" w:eastAsia="Calibri" w:hAnsiTheme="minorHAnsi" w:cs="Calibri"/>
          <w:sz w:val="24"/>
          <w:szCs w:val="24"/>
        </w:rPr>
        <w:t>a</w:t>
      </w:r>
      <w:r w:rsidR="007602EE" w:rsidRPr="007602EE">
        <w:rPr>
          <w:rFonts w:asciiTheme="minorHAnsi" w:eastAsia="Calibri" w:hAnsiTheme="minorHAnsi" w:cs="Calibri"/>
          <w:sz w:val="24"/>
          <w:szCs w:val="24"/>
        </w:rPr>
        <w:t>ediatric</w:t>
      </w:r>
      <w:proofErr w:type="spellEnd"/>
      <w:r w:rsidR="007602EE" w:rsidRPr="007602EE">
        <w:rPr>
          <w:rFonts w:asciiTheme="minorHAnsi" w:eastAsia="Calibri" w:hAnsiTheme="minorHAnsi" w:cs="Calibri"/>
          <w:sz w:val="24"/>
          <w:szCs w:val="24"/>
        </w:rPr>
        <w:t xml:space="preserve"> and adult cohorts are discussed.</w:t>
      </w:r>
    </w:p>
    <w:p w14:paraId="22B876F9" w14:textId="02CF687D" w:rsidR="00B23812" w:rsidRPr="00EB17C6" w:rsidRDefault="0049062C" w:rsidP="0049062C">
      <w:pPr>
        <w:pStyle w:val="ListParagraph"/>
        <w:numPr>
          <w:ilvl w:val="0"/>
          <w:numId w:val="2"/>
        </w:numPr>
        <w:tabs>
          <w:tab w:val="left" w:pos="1540"/>
        </w:tabs>
        <w:spacing w:before="1" w:line="258" w:lineRule="auto"/>
        <w:ind w:right="258"/>
        <w:rPr>
          <w:rFonts w:asciiTheme="minorHAnsi" w:eastAsia="Calibri" w:hAnsiTheme="minorHAnsi" w:cs="Calibri"/>
          <w:sz w:val="24"/>
          <w:szCs w:val="24"/>
        </w:rPr>
      </w:pPr>
      <w:r>
        <w:rPr>
          <w:rFonts w:asciiTheme="minorHAnsi" w:eastAsia="Calibri" w:hAnsiTheme="minorHAnsi" w:cs="Calibri"/>
          <w:spacing w:val="-1"/>
          <w:sz w:val="24"/>
          <w:szCs w:val="24"/>
        </w:rPr>
        <w:t>Millett, G</w:t>
      </w:r>
      <w:r w:rsidR="00E51023">
        <w:rPr>
          <w:rFonts w:asciiTheme="minorHAnsi" w:eastAsia="Calibri" w:hAnsiTheme="minorHAnsi" w:cs="Calibri"/>
          <w:spacing w:val="-1"/>
          <w:sz w:val="24"/>
          <w:szCs w:val="24"/>
        </w:rPr>
        <w:t>.</w:t>
      </w:r>
      <w:r>
        <w:rPr>
          <w:rFonts w:asciiTheme="minorHAnsi" w:eastAsia="Calibri" w:hAnsiTheme="minorHAnsi" w:cs="Calibri"/>
          <w:spacing w:val="-1"/>
          <w:sz w:val="24"/>
          <w:szCs w:val="24"/>
        </w:rPr>
        <w:t>A</w:t>
      </w:r>
      <w:r w:rsidR="00E51023">
        <w:rPr>
          <w:rFonts w:asciiTheme="minorHAnsi" w:eastAsia="Calibri" w:hAnsiTheme="minorHAnsi" w:cs="Calibri"/>
          <w:spacing w:val="-1"/>
          <w:sz w:val="24"/>
          <w:szCs w:val="24"/>
        </w:rPr>
        <w:t>.</w:t>
      </w:r>
      <w:r w:rsidR="002335D9" w:rsidRPr="00EB17C6">
        <w:rPr>
          <w:rFonts w:asciiTheme="minorHAnsi" w:eastAsia="Calibri" w:hAnsiTheme="minorHAnsi" w:cs="Calibri"/>
          <w:spacing w:val="-1"/>
          <w:sz w:val="24"/>
          <w:szCs w:val="24"/>
        </w:rPr>
        <w:t xml:space="preserve">, </w:t>
      </w:r>
      <w:r>
        <w:rPr>
          <w:rFonts w:asciiTheme="minorHAnsi" w:eastAsia="Calibri" w:hAnsiTheme="minorHAnsi" w:cs="Calibri"/>
          <w:spacing w:val="-1"/>
          <w:sz w:val="24"/>
          <w:szCs w:val="24"/>
        </w:rPr>
        <w:t>Peterson, J</w:t>
      </w:r>
      <w:r w:rsidR="00E51023">
        <w:rPr>
          <w:rFonts w:asciiTheme="minorHAnsi" w:eastAsia="Calibri" w:hAnsiTheme="minorHAnsi" w:cs="Calibri"/>
          <w:spacing w:val="-1"/>
          <w:sz w:val="24"/>
          <w:szCs w:val="24"/>
        </w:rPr>
        <w:t>.</w:t>
      </w:r>
      <w:r>
        <w:rPr>
          <w:rFonts w:asciiTheme="minorHAnsi" w:eastAsia="Calibri" w:hAnsiTheme="minorHAnsi" w:cs="Calibri"/>
          <w:spacing w:val="-1"/>
          <w:sz w:val="24"/>
          <w:szCs w:val="24"/>
        </w:rPr>
        <w:t>L</w:t>
      </w:r>
      <w:r w:rsidR="00E51023">
        <w:rPr>
          <w:rFonts w:asciiTheme="minorHAnsi" w:eastAsia="Calibri" w:hAnsiTheme="minorHAnsi" w:cs="Calibri"/>
          <w:spacing w:val="-1"/>
          <w:sz w:val="24"/>
          <w:szCs w:val="24"/>
        </w:rPr>
        <w:t>.</w:t>
      </w:r>
      <w:r>
        <w:rPr>
          <w:rFonts w:asciiTheme="minorHAnsi" w:eastAsia="Calibri" w:hAnsiTheme="minorHAnsi" w:cs="Calibri"/>
          <w:spacing w:val="-1"/>
          <w:sz w:val="24"/>
          <w:szCs w:val="24"/>
        </w:rPr>
        <w:t>, Flores, S</w:t>
      </w:r>
      <w:r w:rsidR="00E51023">
        <w:rPr>
          <w:rFonts w:asciiTheme="minorHAnsi" w:eastAsia="Calibri" w:hAnsiTheme="minorHAnsi" w:cs="Calibri"/>
          <w:spacing w:val="-1"/>
          <w:sz w:val="24"/>
          <w:szCs w:val="24"/>
        </w:rPr>
        <w:t>.</w:t>
      </w:r>
      <w:r>
        <w:rPr>
          <w:rFonts w:asciiTheme="minorHAnsi" w:eastAsia="Calibri" w:hAnsiTheme="minorHAnsi" w:cs="Calibri"/>
          <w:spacing w:val="-1"/>
          <w:sz w:val="24"/>
          <w:szCs w:val="24"/>
        </w:rPr>
        <w:t>A</w:t>
      </w:r>
      <w:r w:rsidR="00E51023">
        <w:rPr>
          <w:rFonts w:asciiTheme="minorHAnsi" w:eastAsia="Calibri" w:hAnsiTheme="minorHAnsi" w:cs="Calibri"/>
          <w:spacing w:val="-1"/>
          <w:sz w:val="24"/>
          <w:szCs w:val="24"/>
        </w:rPr>
        <w:t>.</w:t>
      </w:r>
      <w:r>
        <w:rPr>
          <w:rFonts w:asciiTheme="minorHAnsi" w:eastAsia="Calibri" w:hAnsiTheme="minorHAnsi" w:cs="Calibri"/>
          <w:spacing w:val="-1"/>
          <w:sz w:val="24"/>
          <w:szCs w:val="24"/>
        </w:rPr>
        <w:t>, Hart, T</w:t>
      </w:r>
      <w:r w:rsidR="00E51023">
        <w:rPr>
          <w:rFonts w:asciiTheme="minorHAnsi" w:eastAsia="Calibri" w:hAnsiTheme="minorHAnsi" w:cs="Calibri"/>
          <w:spacing w:val="-1"/>
          <w:sz w:val="24"/>
          <w:szCs w:val="24"/>
        </w:rPr>
        <w:t>.</w:t>
      </w:r>
      <w:r>
        <w:rPr>
          <w:rFonts w:asciiTheme="minorHAnsi" w:eastAsia="Calibri" w:hAnsiTheme="minorHAnsi" w:cs="Calibri"/>
          <w:spacing w:val="-1"/>
          <w:sz w:val="24"/>
          <w:szCs w:val="24"/>
        </w:rPr>
        <w:t>A</w:t>
      </w:r>
      <w:r w:rsidR="00E51023">
        <w:rPr>
          <w:rFonts w:asciiTheme="minorHAnsi" w:eastAsia="Calibri" w:hAnsiTheme="minorHAnsi" w:cs="Calibri"/>
          <w:spacing w:val="-1"/>
          <w:sz w:val="24"/>
          <w:szCs w:val="24"/>
        </w:rPr>
        <w:t>.</w:t>
      </w:r>
      <w:r w:rsidR="008F676F">
        <w:rPr>
          <w:rFonts w:asciiTheme="minorHAnsi" w:eastAsia="Calibri" w:hAnsiTheme="minorHAnsi" w:cs="Calibri"/>
          <w:spacing w:val="-1"/>
          <w:sz w:val="24"/>
          <w:szCs w:val="24"/>
        </w:rPr>
        <w:t>, et al.</w:t>
      </w:r>
      <w:r w:rsidR="002335D9" w:rsidRPr="00EB17C6">
        <w:rPr>
          <w:rFonts w:asciiTheme="minorHAnsi" w:eastAsia="Calibri" w:hAnsiTheme="minorHAnsi" w:cs="Calibri"/>
          <w:spacing w:val="-1"/>
          <w:sz w:val="24"/>
          <w:szCs w:val="24"/>
        </w:rPr>
        <w:t xml:space="preserve"> </w:t>
      </w:r>
      <w:r>
        <w:rPr>
          <w:rFonts w:asciiTheme="minorHAnsi" w:eastAsia="Calibri" w:hAnsiTheme="minorHAnsi" w:cs="Calibri"/>
          <w:spacing w:val="-1"/>
          <w:sz w:val="24"/>
          <w:szCs w:val="24"/>
        </w:rPr>
        <w:t>(2012</w:t>
      </w:r>
      <w:r w:rsidR="00B23812" w:rsidRPr="00EB17C6">
        <w:rPr>
          <w:rFonts w:asciiTheme="minorHAnsi" w:eastAsia="Calibri" w:hAnsiTheme="minorHAnsi" w:cs="Calibri"/>
          <w:spacing w:val="-1"/>
          <w:sz w:val="24"/>
          <w:szCs w:val="24"/>
        </w:rPr>
        <w:t>).</w:t>
      </w:r>
      <w:r w:rsidR="002335D9" w:rsidRPr="00EB17C6">
        <w:rPr>
          <w:rFonts w:asciiTheme="minorHAnsi" w:eastAsia="Calibri" w:hAnsiTheme="minorHAnsi" w:cs="Calibri"/>
          <w:spacing w:val="-1"/>
          <w:sz w:val="24"/>
          <w:szCs w:val="24"/>
        </w:rPr>
        <w:t xml:space="preserve"> </w:t>
      </w:r>
      <w:r>
        <w:rPr>
          <w:rFonts w:asciiTheme="minorHAnsi" w:eastAsia="Calibri" w:hAnsiTheme="minorHAnsi" w:cs="Calibri"/>
          <w:spacing w:val="-1"/>
          <w:sz w:val="24"/>
          <w:szCs w:val="24"/>
        </w:rPr>
        <w:t xml:space="preserve">Comparisons of disparities and risks of HIV infection in Black and other men who have sex with men in Canada, UK, and USA: a meta-analysis. </w:t>
      </w:r>
      <w:r w:rsidRPr="0049062C">
        <w:rPr>
          <w:rFonts w:asciiTheme="minorHAnsi" w:eastAsia="Calibri" w:hAnsiTheme="minorHAnsi" w:cs="Calibri"/>
          <w:i/>
          <w:spacing w:val="-1"/>
          <w:sz w:val="24"/>
          <w:szCs w:val="24"/>
        </w:rPr>
        <w:t>Lancet</w:t>
      </w:r>
      <w:r w:rsidR="00295F8A">
        <w:rPr>
          <w:rFonts w:asciiTheme="minorHAnsi" w:eastAsia="Calibri" w:hAnsiTheme="minorHAnsi" w:cs="Calibri"/>
          <w:i/>
          <w:spacing w:val="-1"/>
          <w:sz w:val="24"/>
          <w:szCs w:val="24"/>
        </w:rPr>
        <w:t xml:space="preserve"> Infectious Diseases</w:t>
      </w:r>
      <w:r w:rsidR="00B23812" w:rsidRPr="00EB17C6">
        <w:rPr>
          <w:rFonts w:asciiTheme="minorHAnsi" w:eastAsia="Calibri" w:hAnsiTheme="minorHAnsi" w:cs="Calibri"/>
          <w:spacing w:val="-1"/>
          <w:sz w:val="24"/>
          <w:szCs w:val="24"/>
        </w:rPr>
        <w:t>.</w:t>
      </w:r>
      <w:r w:rsidR="002335D9" w:rsidRPr="00EB17C6">
        <w:rPr>
          <w:rFonts w:asciiTheme="minorHAnsi" w:eastAsia="Calibri" w:hAnsiTheme="minorHAnsi" w:cs="Calibri"/>
          <w:spacing w:val="-1"/>
          <w:sz w:val="24"/>
          <w:szCs w:val="24"/>
        </w:rPr>
        <w:t xml:space="preserve"> </w:t>
      </w:r>
      <w:r>
        <w:rPr>
          <w:rFonts w:asciiTheme="minorHAnsi" w:eastAsia="Calibri" w:hAnsiTheme="minorHAnsi" w:cs="Calibri"/>
          <w:i/>
          <w:spacing w:val="-1"/>
          <w:sz w:val="24"/>
          <w:szCs w:val="24"/>
        </w:rPr>
        <w:t>380</w:t>
      </w:r>
      <w:r>
        <w:rPr>
          <w:rFonts w:asciiTheme="minorHAnsi" w:eastAsia="Calibri" w:hAnsiTheme="minorHAnsi" w:cs="Calibri"/>
          <w:spacing w:val="-1"/>
          <w:sz w:val="24"/>
          <w:szCs w:val="24"/>
        </w:rPr>
        <w:t>(9839</w:t>
      </w:r>
      <w:r w:rsidR="002335D9" w:rsidRPr="00EB17C6">
        <w:rPr>
          <w:rFonts w:asciiTheme="minorHAnsi" w:eastAsia="Calibri" w:hAnsiTheme="minorHAnsi" w:cs="Calibri"/>
          <w:spacing w:val="-1"/>
          <w:sz w:val="24"/>
          <w:szCs w:val="24"/>
        </w:rPr>
        <w:t>)</w:t>
      </w:r>
      <w:r w:rsidR="00A26879">
        <w:rPr>
          <w:rFonts w:asciiTheme="minorHAnsi" w:eastAsia="Calibri" w:hAnsiTheme="minorHAnsi" w:cs="Calibri"/>
          <w:spacing w:val="-1"/>
          <w:sz w:val="24"/>
          <w:szCs w:val="24"/>
        </w:rPr>
        <w:t>,</w:t>
      </w:r>
      <w:r>
        <w:rPr>
          <w:rFonts w:asciiTheme="minorHAnsi" w:eastAsia="Calibri" w:hAnsiTheme="minorHAnsi" w:cs="Calibri"/>
          <w:spacing w:val="-1"/>
          <w:sz w:val="24"/>
          <w:szCs w:val="24"/>
        </w:rPr>
        <w:t xml:space="preserve"> 341-</w:t>
      </w:r>
      <w:r w:rsidR="00E51023">
        <w:rPr>
          <w:rFonts w:asciiTheme="minorHAnsi" w:eastAsia="Calibri" w:hAnsiTheme="minorHAnsi" w:cs="Calibri"/>
          <w:spacing w:val="-1"/>
          <w:sz w:val="24"/>
          <w:szCs w:val="24"/>
        </w:rPr>
        <w:t>34</w:t>
      </w:r>
      <w:r>
        <w:rPr>
          <w:rFonts w:asciiTheme="minorHAnsi" w:eastAsia="Calibri" w:hAnsiTheme="minorHAnsi" w:cs="Calibri"/>
          <w:spacing w:val="-1"/>
          <w:sz w:val="24"/>
          <w:szCs w:val="24"/>
        </w:rPr>
        <w:t>8</w:t>
      </w:r>
      <w:r w:rsidR="002335D9" w:rsidRPr="00EB17C6">
        <w:rPr>
          <w:rFonts w:asciiTheme="minorHAnsi" w:eastAsia="Calibri" w:hAnsiTheme="minorHAnsi" w:cs="Calibri"/>
          <w:spacing w:val="-1"/>
          <w:sz w:val="24"/>
          <w:szCs w:val="24"/>
        </w:rPr>
        <w:t xml:space="preserve">. </w:t>
      </w:r>
      <w:r w:rsidR="007B2C8D" w:rsidRPr="00EB17C6">
        <w:rPr>
          <w:rFonts w:asciiTheme="minorHAnsi" w:eastAsia="Calibri" w:hAnsiTheme="minorHAnsi" w:cstheme="minorHAnsi"/>
          <w:spacing w:val="-1"/>
          <w:sz w:val="24"/>
          <w:szCs w:val="24"/>
        </w:rPr>
        <w:t>DOI</w:t>
      </w:r>
      <w:r w:rsidR="000F57C1" w:rsidRPr="00EB17C6">
        <w:rPr>
          <w:rFonts w:asciiTheme="minorHAnsi" w:eastAsia="Calibri" w:hAnsiTheme="minorHAnsi" w:cstheme="minorHAnsi"/>
          <w:spacing w:val="-1"/>
          <w:sz w:val="24"/>
          <w:szCs w:val="24"/>
        </w:rPr>
        <w:t xml:space="preserve">: </w:t>
      </w:r>
      <w:r w:rsidRPr="0049062C">
        <w:rPr>
          <w:rFonts w:asciiTheme="minorHAnsi" w:hAnsiTheme="minorHAnsi" w:cstheme="minorHAnsi"/>
          <w:sz w:val="24"/>
          <w:szCs w:val="24"/>
          <w:shd w:val="clear" w:color="auto" w:fill="FFFFFF"/>
        </w:rPr>
        <w:t>10.1016/S0140-6736(12)60899-X</w:t>
      </w:r>
    </w:p>
    <w:p w14:paraId="435C657C" w14:textId="54473412" w:rsidR="0049062C" w:rsidRPr="0049062C" w:rsidRDefault="0049062C" w:rsidP="0049062C">
      <w:pPr>
        <w:pStyle w:val="NormalWeb"/>
        <w:shd w:val="clear" w:color="auto" w:fill="FFFFFF"/>
        <w:spacing w:after="120"/>
        <w:ind w:left="1498"/>
        <w:jc w:val="both"/>
        <w:rPr>
          <w:rFonts w:asciiTheme="minorHAnsi" w:hAnsiTheme="minorHAnsi" w:cstheme="minorHAnsi"/>
          <w:color w:val="000000"/>
        </w:rPr>
      </w:pPr>
      <w:r w:rsidRPr="0049062C">
        <w:rPr>
          <w:rFonts w:asciiTheme="minorHAnsi" w:hAnsiTheme="minorHAnsi" w:cstheme="minorHAnsi"/>
          <w:color w:val="000000"/>
        </w:rPr>
        <w:t xml:space="preserve">Study investigators conducted a meta-analysis to assess factors associated with disparities in HIV infection in black men who have sex with men (MSM) in Canada, the UK, and the USA. They searched </w:t>
      </w:r>
      <w:proofErr w:type="spellStart"/>
      <w:r w:rsidRPr="0049062C">
        <w:rPr>
          <w:rFonts w:asciiTheme="minorHAnsi" w:hAnsiTheme="minorHAnsi" w:cstheme="minorHAnsi"/>
          <w:color w:val="000000"/>
        </w:rPr>
        <w:t>Embase</w:t>
      </w:r>
      <w:proofErr w:type="spellEnd"/>
      <w:r w:rsidRPr="0049062C">
        <w:rPr>
          <w:rFonts w:asciiTheme="minorHAnsi" w:hAnsiTheme="minorHAnsi" w:cstheme="minorHAnsi"/>
          <w:color w:val="000000"/>
        </w:rPr>
        <w:t>, Medline, Google Scholar, and online conference proceedings from Jan 1, 1981, to Dec 31, 2011, for racial comparative studies with quantitative outcomes associated with HIV risk or HIV infection. Key words and Medical Subject Headings (US National Library of Medicine) relevant to race were cross-referenced with citations pertinent to homosexuality in Canada, the UK, and the USA. Data were aggregated across studies for every outcome of interest to estimate overall effect sizes, which were converted into summary ORs for 106,148 black MSM relative to 581,577 other MSM.</w:t>
      </w:r>
    </w:p>
    <w:p w14:paraId="6874F4D1" w14:textId="0B80404D" w:rsidR="00DC3A0A" w:rsidRPr="0049062C" w:rsidRDefault="00A26879" w:rsidP="000F57C1">
      <w:pPr>
        <w:pStyle w:val="ListParagraph"/>
        <w:numPr>
          <w:ilvl w:val="0"/>
          <w:numId w:val="2"/>
        </w:numPr>
        <w:rPr>
          <w:rFonts w:asciiTheme="minorHAnsi" w:eastAsia="Calibri" w:hAnsiTheme="minorHAnsi" w:cs="Calibri"/>
          <w:spacing w:val="-1"/>
          <w:sz w:val="24"/>
          <w:szCs w:val="24"/>
        </w:rPr>
      </w:pPr>
      <w:r>
        <w:rPr>
          <w:rFonts w:asciiTheme="minorHAnsi" w:eastAsia="Calibri" w:hAnsiTheme="minorHAnsi" w:cs="Calibri"/>
          <w:spacing w:val="-1"/>
          <w:sz w:val="24"/>
          <w:szCs w:val="24"/>
        </w:rPr>
        <w:t>Grant, R</w:t>
      </w:r>
      <w:r w:rsidR="00E51023">
        <w:rPr>
          <w:rFonts w:asciiTheme="minorHAnsi" w:eastAsia="Calibri" w:hAnsiTheme="minorHAnsi" w:cs="Calibri"/>
          <w:spacing w:val="-1"/>
          <w:sz w:val="24"/>
          <w:szCs w:val="24"/>
        </w:rPr>
        <w:t>.</w:t>
      </w:r>
      <w:r>
        <w:rPr>
          <w:rFonts w:asciiTheme="minorHAnsi" w:eastAsia="Calibri" w:hAnsiTheme="minorHAnsi" w:cs="Calibri"/>
          <w:spacing w:val="-1"/>
          <w:sz w:val="24"/>
          <w:szCs w:val="24"/>
        </w:rPr>
        <w:t>M</w:t>
      </w:r>
      <w:r w:rsidR="00E51023">
        <w:rPr>
          <w:rFonts w:asciiTheme="minorHAnsi" w:eastAsia="Calibri" w:hAnsiTheme="minorHAnsi" w:cs="Calibri"/>
          <w:spacing w:val="-1"/>
          <w:sz w:val="24"/>
          <w:szCs w:val="24"/>
        </w:rPr>
        <w:t>.</w:t>
      </w:r>
      <w:r w:rsidR="000F57C1" w:rsidRPr="0049062C">
        <w:rPr>
          <w:rFonts w:asciiTheme="minorHAnsi" w:eastAsia="Calibri" w:hAnsiTheme="minorHAnsi" w:cs="Calibri"/>
          <w:spacing w:val="-1"/>
          <w:sz w:val="24"/>
          <w:szCs w:val="24"/>
        </w:rPr>
        <w:t>,</w:t>
      </w:r>
      <w:r>
        <w:rPr>
          <w:rFonts w:asciiTheme="minorHAnsi" w:eastAsia="Calibri" w:hAnsiTheme="minorHAnsi" w:cs="Calibri"/>
          <w:spacing w:val="-1"/>
          <w:sz w:val="24"/>
          <w:szCs w:val="24"/>
        </w:rPr>
        <w:t xml:space="preserve"> Lama J</w:t>
      </w:r>
      <w:r w:rsidR="00E51023">
        <w:rPr>
          <w:rFonts w:asciiTheme="minorHAnsi" w:eastAsia="Calibri" w:hAnsiTheme="minorHAnsi" w:cs="Calibri"/>
          <w:spacing w:val="-1"/>
          <w:sz w:val="24"/>
          <w:szCs w:val="24"/>
        </w:rPr>
        <w:t>.</w:t>
      </w:r>
      <w:r>
        <w:rPr>
          <w:rFonts w:asciiTheme="minorHAnsi" w:eastAsia="Calibri" w:hAnsiTheme="minorHAnsi" w:cs="Calibri"/>
          <w:spacing w:val="-1"/>
          <w:sz w:val="24"/>
          <w:szCs w:val="24"/>
        </w:rPr>
        <w:t>R</w:t>
      </w:r>
      <w:r w:rsidR="00E51023">
        <w:rPr>
          <w:rFonts w:asciiTheme="minorHAnsi" w:eastAsia="Calibri" w:hAnsiTheme="minorHAnsi" w:cs="Calibri"/>
          <w:spacing w:val="-1"/>
          <w:sz w:val="24"/>
          <w:szCs w:val="24"/>
        </w:rPr>
        <w:t>.</w:t>
      </w:r>
      <w:r w:rsidR="000F57C1" w:rsidRPr="0049062C">
        <w:rPr>
          <w:rFonts w:asciiTheme="minorHAnsi" w:eastAsia="Calibri" w:hAnsiTheme="minorHAnsi" w:cs="Calibri"/>
          <w:spacing w:val="-1"/>
          <w:sz w:val="24"/>
          <w:szCs w:val="24"/>
        </w:rPr>
        <w:t xml:space="preserve">, </w:t>
      </w:r>
      <w:r>
        <w:rPr>
          <w:rFonts w:asciiTheme="minorHAnsi" w:eastAsia="Calibri" w:hAnsiTheme="minorHAnsi" w:cs="Calibri"/>
          <w:spacing w:val="-1"/>
          <w:sz w:val="24"/>
          <w:szCs w:val="24"/>
        </w:rPr>
        <w:t>Anderson, P</w:t>
      </w:r>
      <w:r w:rsidR="00E51023">
        <w:rPr>
          <w:rFonts w:asciiTheme="minorHAnsi" w:eastAsia="Calibri" w:hAnsiTheme="minorHAnsi" w:cs="Calibri"/>
          <w:spacing w:val="-1"/>
          <w:sz w:val="24"/>
          <w:szCs w:val="24"/>
        </w:rPr>
        <w:t>.</w:t>
      </w:r>
      <w:r>
        <w:rPr>
          <w:rFonts w:asciiTheme="minorHAnsi" w:eastAsia="Calibri" w:hAnsiTheme="minorHAnsi" w:cs="Calibri"/>
          <w:spacing w:val="-1"/>
          <w:sz w:val="24"/>
          <w:szCs w:val="24"/>
        </w:rPr>
        <w:t>L</w:t>
      </w:r>
      <w:r w:rsidR="00E51023">
        <w:rPr>
          <w:rFonts w:asciiTheme="minorHAnsi" w:eastAsia="Calibri" w:hAnsiTheme="minorHAnsi" w:cs="Calibri"/>
          <w:spacing w:val="-1"/>
          <w:sz w:val="24"/>
          <w:szCs w:val="24"/>
        </w:rPr>
        <w:t>.</w:t>
      </w:r>
      <w:r>
        <w:rPr>
          <w:rFonts w:asciiTheme="minorHAnsi" w:eastAsia="Calibri" w:hAnsiTheme="minorHAnsi" w:cs="Calibri"/>
          <w:spacing w:val="-1"/>
          <w:sz w:val="24"/>
          <w:szCs w:val="24"/>
        </w:rPr>
        <w:t>, McMahan, V</w:t>
      </w:r>
      <w:r w:rsidR="00E51023">
        <w:rPr>
          <w:rFonts w:asciiTheme="minorHAnsi" w:eastAsia="Calibri" w:hAnsiTheme="minorHAnsi" w:cs="Calibri"/>
          <w:spacing w:val="-1"/>
          <w:sz w:val="24"/>
          <w:szCs w:val="24"/>
        </w:rPr>
        <w:t>.</w:t>
      </w:r>
      <w:r w:rsidR="008F676F">
        <w:rPr>
          <w:rFonts w:asciiTheme="minorHAnsi" w:eastAsia="Calibri" w:hAnsiTheme="minorHAnsi" w:cs="Calibri"/>
          <w:spacing w:val="-1"/>
          <w:sz w:val="24"/>
          <w:szCs w:val="24"/>
        </w:rPr>
        <w:t>, et al.</w:t>
      </w:r>
      <w:r w:rsidR="000F57C1" w:rsidRPr="0049062C">
        <w:rPr>
          <w:rFonts w:asciiTheme="minorHAnsi" w:eastAsia="Calibri" w:hAnsiTheme="minorHAnsi" w:cs="Calibri"/>
          <w:spacing w:val="-1"/>
          <w:sz w:val="24"/>
          <w:szCs w:val="24"/>
        </w:rPr>
        <w:t xml:space="preserve"> </w:t>
      </w:r>
      <w:r>
        <w:rPr>
          <w:rFonts w:asciiTheme="minorHAnsi" w:eastAsia="Calibri" w:hAnsiTheme="minorHAnsi" w:cs="Calibri"/>
          <w:spacing w:val="-1"/>
          <w:sz w:val="24"/>
          <w:szCs w:val="24"/>
        </w:rPr>
        <w:t>(2010)</w:t>
      </w:r>
      <w:r w:rsidR="000F57C1" w:rsidRPr="0049062C">
        <w:rPr>
          <w:rFonts w:asciiTheme="minorHAnsi" w:eastAsia="Calibri" w:hAnsiTheme="minorHAnsi" w:cs="Calibri"/>
          <w:spacing w:val="-1"/>
          <w:sz w:val="24"/>
          <w:szCs w:val="24"/>
        </w:rPr>
        <w:t xml:space="preserve">. </w:t>
      </w:r>
      <w:r>
        <w:rPr>
          <w:rFonts w:asciiTheme="minorHAnsi" w:eastAsia="Calibri" w:hAnsiTheme="minorHAnsi" w:cs="Calibri"/>
          <w:spacing w:val="-1"/>
          <w:sz w:val="24"/>
          <w:szCs w:val="24"/>
        </w:rPr>
        <w:t xml:space="preserve">Preexposure Chemoprophylaxis for HIV Prevention in Men Who Have Sex </w:t>
      </w:r>
      <w:proofErr w:type="gramStart"/>
      <w:r>
        <w:rPr>
          <w:rFonts w:asciiTheme="minorHAnsi" w:eastAsia="Calibri" w:hAnsiTheme="minorHAnsi" w:cs="Calibri"/>
          <w:spacing w:val="-1"/>
          <w:sz w:val="24"/>
          <w:szCs w:val="24"/>
        </w:rPr>
        <w:t>With</w:t>
      </w:r>
      <w:proofErr w:type="gramEnd"/>
      <w:r>
        <w:rPr>
          <w:rFonts w:asciiTheme="minorHAnsi" w:eastAsia="Calibri" w:hAnsiTheme="minorHAnsi" w:cs="Calibri"/>
          <w:spacing w:val="-1"/>
          <w:sz w:val="24"/>
          <w:szCs w:val="24"/>
        </w:rPr>
        <w:t xml:space="preserve"> Men. </w:t>
      </w:r>
      <w:r>
        <w:rPr>
          <w:rFonts w:asciiTheme="minorHAnsi" w:eastAsia="Calibri" w:hAnsiTheme="minorHAnsi" w:cs="Calibri"/>
          <w:i/>
          <w:spacing w:val="-1"/>
          <w:sz w:val="24"/>
          <w:szCs w:val="24"/>
        </w:rPr>
        <w:t>New England Journal of</w:t>
      </w:r>
      <w:r w:rsidR="000F57C1" w:rsidRPr="0049062C">
        <w:rPr>
          <w:rFonts w:asciiTheme="minorHAnsi" w:eastAsia="Calibri" w:hAnsiTheme="minorHAnsi" w:cs="Calibri"/>
          <w:i/>
          <w:spacing w:val="-1"/>
          <w:sz w:val="24"/>
          <w:szCs w:val="24"/>
        </w:rPr>
        <w:t xml:space="preserve"> Medicine</w:t>
      </w:r>
      <w:r w:rsidR="000F57C1" w:rsidRPr="0049062C">
        <w:rPr>
          <w:rFonts w:asciiTheme="minorHAnsi" w:eastAsia="Calibri" w:hAnsiTheme="minorHAnsi" w:cs="Calibri"/>
          <w:spacing w:val="-1"/>
          <w:sz w:val="24"/>
          <w:szCs w:val="24"/>
        </w:rPr>
        <w:t xml:space="preserve">. </w:t>
      </w:r>
      <w:r>
        <w:rPr>
          <w:rFonts w:asciiTheme="minorHAnsi" w:eastAsia="Calibri" w:hAnsiTheme="minorHAnsi" w:cs="Calibri"/>
          <w:i/>
          <w:spacing w:val="-1"/>
          <w:sz w:val="24"/>
          <w:szCs w:val="24"/>
        </w:rPr>
        <w:t>363</w:t>
      </w:r>
      <w:r>
        <w:rPr>
          <w:rFonts w:asciiTheme="minorHAnsi" w:eastAsia="Calibri" w:hAnsiTheme="minorHAnsi" w:cs="Calibri"/>
          <w:spacing w:val="-1"/>
          <w:sz w:val="24"/>
          <w:szCs w:val="24"/>
        </w:rPr>
        <w:t>(27</w:t>
      </w:r>
      <w:r w:rsidR="000F57C1" w:rsidRPr="0049062C">
        <w:rPr>
          <w:rFonts w:asciiTheme="minorHAnsi" w:eastAsia="Calibri" w:hAnsiTheme="minorHAnsi" w:cs="Calibri"/>
          <w:spacing w:val="-1"/>
          <w:sz w:val="24"/>
          <w:szCs w:val="24"/>
        </w:rPr>
        <w:t xml:space="preserve">), </w:t>
      </w:r>
      <w:r>
        <w:rPr>
          <w:rFonts w:asciiTheme="minorHAnsi" w:eastAsia="Calibri" w:hAnsiTheme="minorHAnsi" w:cs="Calibri"/>
          <w:spacing w:val="-1"/>
          <w:sz w:val="24"/>
          <w:szCs w:val="24"/>
        </w:rPr>
        <w:t>2587–</w:t>
      </w:r>
      <w:r w:rsidR="00E51023">
        <w:rPr>
          <w:rFonts w:asciiTheme="minorHAnsi" w:eastAsia="Calibri" w:hAnsiTheme="minorHAnsi" w:cs="Calibri"/>
          <w:spacing w:val="-1"/>
          <w:sz w:val="24"/>
          <w:szCs w:val="24"/>
        </w:rPr>
        <w:t>25</w:t>
      </w:r>
      <w:r>
        <w:rPr>
          <w:rFonts w:asciiTheme="minorHAnsi" w:eastAsia="Calibri" w:hAnsiTheme="minorHAnsi" w:cs="Calibri"/>
          <w:spacing w:val="-1"/>
          <w:sz w:val="24"/>
          <w:szCs w:val="24"/>
        </w:rPr>
        <w:t>99</w:t>
      </w:r>
      <w:r w:rsidR="000F57C1" w:rsidRPr="0049062C">
        <w:rPr>
          <w:rFonts w:asciiTheme="minorHAnsi" w:eastAsia="Calibri" w:hAnsiTheme="minorHAnsi" w:cs="Calibri"/>
          <w:spacing w:val="-1"/>
          <w:sz w:val="24"/>
          <w:szCs w:val="24"/>
        </w:rPr>
        <w:t xml:space="preserve">. </w:t>
      </w:r>
      <w:r w:rsidR="007B2C8D" w:rsidRPr="0049062C">
        <w:rPr>
          <w:rFonts w:asciiTheme="minorHAnsi" w:eastAsia="Calibri" w:hAnsiTheme="minorHAnsi" w:cs="Calibri"/>
          <w:spacing w:val="-1"/>
          <w:sz w:val="24"/>
          <w:szCs w:val="24"/>
        </w:rPr>
        <w:t>DOI</w:t>
      </w:r>
      <w:r>
        <w:rPr>
          <w:rFonts w:asciiTheme="minorHAnsi" w:eastAsia="Calibri" w:hAnsiTheme="minorHAnsi" w:cs="Calibri"/>
          <w:spacing w:val="-1"/>
          <w:sz w:val="24"/>
          <w:szCs w:val="24"/>
        </w:rPr>
        <w:t>:</w:t>
      </w:r>
      <w:r w:rsidRPr="00A26879">
        <w:rPr>
          <w:rFonts w:asciiTheme="minorHAnsi" w:eastAsia="Calibri" w:hAnsiTheme="minorHAnsi" w:cs="Calibri"/>
          <w:spacing w:val="-1"/>
          <w:sz w:val="24"/>
          <w:szCs w:val="24"/>
        </w:rPr>
        <w:t> 10.1056/NEJMoa1011205</w:t>
      </w:r>
    </w:p>
    <w:p w14:paraId="4C869047" w14:textId="77777777" w:rsidR="0082203C" w:rsidRPr="0082203C" w:rsidRDefault="000F57C1" w:rsidP="0082203C">
      <w:pPr>
        <w:tabs>
          <w:tab w:val="left" w:pos="1540"/>
        </w:tabs>
        <w:spacing w:before="23"/>
        <w:ind w:left="1540" w:right="100" w:hanging="360"/>
        <w:jc w:val="both"/>
        <w:rPr>
          <w:rFonts w:asciiTheme="minorHAnsi" w:eastAsia="Calibri" w:hAnsiTheme="minorHAnsi" w:cs="Calibri"/>
          <w:sz w:val="24"/>
          <w:szCs w:val="24"/>
        </w:rPr>
      </w:pPr>
      <w:r w:rsidRPr="00EB17C6">
        <w:rPr>
          <w:rFonts w:asciiTheme="minorHAnsi" w:eastAsia="Calibri" w:hAnsiTheme="minorHAnsi" w:cs="Calibri"/>
          <w:sz w:val="24"/>
          <w:szCs w:val="24"/>
        </w:rPr>
        <w:tab/>
      </w:r>
    </w:p>
    <w:p w14:paraId="3CD779BD" w14:textId="77777777" w:rsidR="004F5020" w:rsidRDefault="0082203C" w:rsidP="004F5020">
      <w:pPr>
        <w:tabs>
          <w:tab w:val="left" w:pos="1540"/>
        </w:tabs>
        <w:spacing w:before="23"/>
        <w:ind w:left="1540" w:right="100" w:hanging="360"/>
        <w:jc w:val="both"/>
        <w:rPr>
          <w:rFonts w:asciiTheme="minorHAnsi" w:eastAsia="Calibri" w:hAnsiTheme="minorHAnsi" w:cs="Calibri"/>
          <w:sz w:val="24"/>
          <w:szCs w:val="24"/>
        </w:rPr>
      </w:pPr>
      <w:r>
        <w:rPr>
          <w:rFonts w:asciiTheme="minorHAnsi" w:eastAsia="Calibri" w:hAnsiTheme="minorHAnsi" w:cs="Calibri"/>
          <w:sz w:val="24"/>
          <w:szCs w:val="24"/>
        </w:rPr>
        <w:lastRenderedPageBreak/>
        <w:tab/>
        <w:t xml:space="preserve">Study investigators </w:t>
      </w:r>
      <w:r w:rsidRPr="0082203C">
        <w:rPr>
          <w:rFonts w:asciiTheme="minorHAnsi" w:eastAsia="Calibri" w:hAnsiTheme="minorHAnsi" w:cs="Calibri"/>
          <w:sz w:val="24"/>
          <w:szCs w:val="24"/>
        </w:rPr>
        <w:t>randomly assigned 2499 HIV-seronegative men or transgender women who have sex with men to receive a combination of two oral antiretroviral drugs, emtricitabine and tenofovir disoproxil fumarate (FTC-TDF), or placebo once daily. All subjects received HIV testing, risk-reduction counseling, condoms, and management of sexually transmitted infections.</w:t>
      </w:r>
    </w:p>
    <w:p w14:paraId="3CA11930" w14:textId="4797BF9A" w:rsidR="00E51023" w:rsidRPr="0049062C" w:rsidRDefault="00E51023" w:rsidP="00E51023">
      <w:pPr>
        <w:pStyle w:val="ListParagraph"/>
        <w:numPr>
          <w:ilvl w:val="0"/>
          <w:numId w:val="2"/>
        </w:numPr>
        <w:rPr>
          <w:rFonts w:asciiTheme="minorHAnsi" w:eastAsia="Calibri" w:hAnsiTheme="minorHAnsi" w:cs="Calibri"/>
          <w:spacing w:val="-1"/>
          <w:sz w:val="24"/>
          <w:szCs w:val="24"/>
        </w:rPr>
      </w:pPr>
      <w:r>
        <w:rPr>
          <w:rFonts w:asciiTheme="minorHAnsi" w:eastAsia="Calibri" w:hAnsiTheme="minorHAnsi" w:cs="Calibri"/>
          <w:spacing w:val="-1"/>
          <w:sz w:val="24"/>
          <w:szCs w:val="24"/>
        </w:rPr>
        <w:t>Buchbinder, S.P., Glidden, D.V., Liu, A.Y., McMahan, V., et al.</w:t>
      </w:r>
      <w:r w:rsidRPr="0049062C">
        <w:rPr>
          <w:rFonts w:asciiTheme="minorHAnsi" w:eastAsia="Calibri" w:hAnsiTheme="minorHAnsi" w:cs="Calibri"/>
          <w:spacing w:val="-1"/>
          <w:sz w:val="24"/>
          <w:szCs w:val="24"/>
        </w:rPr>
        <w:t xml:space="preserve"> </w:t>
      </w:r>
      <w:r>
        <w:rPr>
          <w:rFonts w:asciiTheme="minorHAnsi" w:eastAsia="Calibri" w:hAnsiTheme="minorHAnsi" w:cs="Calibri"/>
          <w:spacing w:val="-1"/>
          <w:sz w:val="24"/>
          <w:szCs w:val="24"/>
        </w:rPr>
        <w:t>(2014)</w:t>
      </w:r>
      <w:r w:rsidRPr="0049062C">
        <w:rPr>
          <w:rFonts w:asciiTheme="minorHAnsi" w:eastAsia="Calibri" w:hAnsiTheme="minorHAnsi" w:cs="Calibri"/>
          <w:spacing w:val="-1"/>
          <w:sz w:val="24"/>
          <w:szCs w:val="24"/>
        </w:rPr>
        <w:t xml:space="preserve">. </w:t>
      </w:r>
      <w:r>
        <w:rPr>
          <w:rFonts w:asciiTheme="minorHAnsi" w:eastAsia="Calibri" w:hAnsiTheme="minorHAnsi" w:cs="Calibri"/>
          <w:spacing w:val="-1"/>
          <w:sz w:val="24"/>
          <w:szCs w:val="24"/>
        </w:rPr>
        <w:t xml:space="preserve">HIV Pre-exposure Prophylaxis in Men Who Have Sex </w:t>
      </w:r>
      <w:proofErr w:type="gramStart"/>
      <w:r>
        <w:rPr>
          <w:rFonts w:asciiTheme="minorHAnsi" w:eastAsia="Calibri" w:hAnsiTheme="minorHAnsi" w:cs="Calibri"/>
          <w:spacing w:val="-1"/>
          <w:sz w:val="24"/>
          <w:szCs w:val="24"/>
        </w:rPr>
        <w:t>With</w:t>
      </w:r>
      <w:proofErr w:type="gramEnd"/>
      <w:r>
        <w:rPr>
          <w:rFonts w:asciiTheme="minorHAnsi" w:eastAsia="Calibri" w:hAnsiTheme="minorHAnsi" w:cs="Calibri"/>
          <w:spacing w:val="-1"/>
          <w:sz w:val="24"/>
          <w:szCs w:val="24"/>
        </w:rPr>
        <w:t xml:space="preserve"> Men and Transgender Women: A Secondary Analysis of a Phase 3 </w:t>
      </w:r>
      <w:proofErr w:type="spellStart"/>
      <w:r>
        <w:rPr>
          <w:rFonts w:asciiTheme="minorHAnsi" w:eastAsia="Calibri" w:hAnsiTheme="minorHAnsi" w:cs="Calibri"/>
          <w:spacing w:val="-1"/>
          <w:sz w:val="24"/>
          <w:szCs w:val="24"/>
        </w:rPr>
        <w:t>Randomised</w:t>
      </w:r>
      <w:proofErr w:type="spellEnd"/>
      <w:r>
        <w:rPr>
          <w:rFonts w:asciiTheme="minorHAnsi" w:eastAsia="Calibri" w:hAnsiTheme="minorHAnsi" w:cs="Calibri"/>
          <w:spacing w:val="-1"/>
          <w:sz w:val="24"/>
          <w:szCs w:val="24"/>
        </w:rPr>
        <w:t xml:space="preserve"> Controlled Efficacy Trial. </w:t>
      </w:r>
      <w:r>
        <w:rPr>
          <w:rFonts w:asciiTheme="minorHAnsi" w:eastAsia="Calibri" w:hAnsiTheme="minorHAnsi" w:cs="Calibri"/>
          <w:i/>
          <w:spacing w:val="-1"/>
          <w:sz w:val="24"/>
          <w:szCs w:val="24"/>
        </w:rPr>
        <w:t>Lancet Infectious Diseases</w:t>
      </w:r>
      <w:r w:rsidRPr="0049062C">
        <w:rPr>
          <w:rFonts w:asciiTheme="minorHAnsi" w:eastAsia="Calibri" w:hAnsiTheme="minorHAnsi" w:cs="Calibri"/>
          <w:spacing w:val="-1"/>
          <w:sz w:val="24"/>
          <w:szCs w:val="24"/>
        </w:rPr>
        <w:t xml:space="preserve">. </w:t>
      </w:r>
      <w:r>
        <w:rPr>
          <w:rFonts w:asciiTheme="minorHAnsi" w:eastAsia="Calibri" w:hAnsiTheme="minorHAnsi" w:cs="Calibri"/>
          <w:i/>
          <w:spacing w:val="-1"/>
          <w:sz w:val="24"/>
          <w:szCs w:val="24"/>
        </w:rPr>
        <w:t>14</w:t>
      </w:r>
      <w:r>
        <w:rPr>
          <w:rFonts w:asciiTheme="minorHAnsi" w:eastAsia="Calibri" w:hAnsiTheme="minorHAnsi" w:cs="Calibri"/>
          <w:spacing w:val="-1"/>
          <w:sz w:val="24"/>
          <w:szCs w:val="24"/>
        </w:rPr>
        <w:t>(6</w:t>
      </w:r>
      <w:r w:rsidRPr="0049062C">
        <w:rPr>
          <w:rFonts w:asciiTheme="minorHAnsi" w:eastAsia="Calibri" w:hAnsiTheme="minorHAnsi" w:cs="Calibri"/>
          <w:spacing w:val="-1"/>
          <w:sz w:val="24"/>
          <w:szCs w:val="24"/>
        </w:rPr>
        <w:t xml:space="preserve">), </w:t>
      </w:r>
      <w:r>
        <w:rPr>
          <w:rFonts w:asciiTheme="minorHAnsi" w:eastAsia="Calibri" w:hAnsiTheme="minorHAnsi" w:cs="Calibri"/>
          <w:spacing w:val="-1"/>
          <w:sz w:val="24"/>
          <w:szCs w:val="24"/>
        </w:rPr>
        <w:t>468–475</w:t>
      </w:r>
      <w:r w:rsidRPr="0049062C">
        <w:rPr>
          <w:rFonts w:asciiTheme="minorHAnsi" w:eastAsia="Calibri" w:hAnsiTheme="minorHAnsi" w:cs="Calibri"/>
          <w:spacing w:val="-1"/>
          <w:sz w:val="24"/>
          <w:szCs w:val="24"/>
        </w:rPr>
        <w:t>. DOI</w:t>
      </w:r>
      <w:r>
        <w:rPr>
          <w:rFonts w:asciiTheme="minorHAnsi" w:eastAsia="Calibri" w:hAnsiTheme="minorHAnsi" w:cs="Calibri"/>
          <w:spacing w:val="-1"/>
          <w:sz w:val="24"/>
          <w:szCs w:val="24"/>
        </w:rPr>
        <w:t>:</w:t>
      </w:r>
      <w:r w:rsidRPr="00A26879">
        <w:rPr>
          <w:rFonts w:asciiTheme="minorHAnsi" w:eastAsia="Calibri" w:hAnsiTheme="minorHAnsi" w:cs="Calibri"/>
          <w:spacing w:val="-1"/>
          <w:sz w:val="24"/>
          <w:szCs w:val="24"/>
        </w:rPr>
        <w:t> </w:t>
      </w:r>
      <w:r w:rsidRPr="00E51023">
        <w:rPr>
          <w:rFonts w:asciiTheme="minorHAnsi" w:eastAsia="Calibri" w:hAnsiTheme="minorHAnsi" w:cs="Calibri"/>
          <w:spacing w:val="-1"/>
          <w:sz w:val="24"/>
          <w:szCs w:val="24"/>
        </w:rPr>
        <w:t>10.1016/S1473-3099(14)70025-8</w:t>
      </w:r>
    </w:p>
    <w:p w14:paraId="6A396EA6" w14:textId="7CB92A3D" w:rsidR="00E51023" w:rsidRPr="004F5020" w:rsidRDefault="00E51023" w:rsidP="00E51023">
      <w:pPr>
        <w:ind w:left="1180" w:right="257" w:firstLine="360"/>
        <w:jc w:val="both"/>
        <w:rPr>
          <w:rFonts w:asciiTheme="minorHAnsi" w:eastAsia="Calibri" w:hAnsiTheme="minorHAnsi" w:cstheme="minorHAnsi"/>
          <w:sz w:val="24"/>
          <w:szCs w:val="24"/>
        </w:rPr>
      </w:pPr>
      <w:r w:rsidRPr="004F5020">
        <w:rPr>
          <w:rFonts w:asciiTheme="minorHAnsi" w:eastAsia="Calibri" w:hAnsiTheme="minorHAnsi" w:cstheme="minorHAnsi"/>
          <w:sz w:val="24"/>
          <w:szCs w:val="24"/>
        </w:rPr>
        <w:t xml:space="preserve">For maximum effect pre-exposure prophylaxis should be targeted to the subpopulations that account for the largest proportion </w:t>
      </w:r>
    </w:p>
    <w:p w14:paraId="3856BE28" w14:textId="77777777" w:rsidR="00E51023" w:rsidRPr="004F5020" w:rsidRDefault="00E51023" w:rsidP="00E51023">
      <w:pPr>
        <w:ind w:left="1180" w:right="257" w:firstLine="360"/>
        <w:jc w:val="both"/>
        <w:rPr>
          <w:rFonts w:asciiTheme="minorHAnsi" w:eastAsia="Calibri" w:hAnsiTheme="minorHAnsi" w:cstheme="minorHAnsi"/>
          <w:sz w:val="24"/>
          <w:szCs w:val="24"/>
        </w:rPr>
      </w:pPr>
      <w:r w:rsidRPr="004F5020">
        <w:rPr>
          <w:rFonts w:asciiTheme="minorHAnsi" w:eastAsia="Calibri" w:hAnsiTheme="minorHAnsi" w:cstheme="minorHAnsi"/>
          <w:sz w:val="24"/>
          <w:szCs w:val="24"/>
        </w:rPr>
        <w:t xml:space="preserve">of infections (population-attributable fraction [PAF]) and for whom the number needed to treat (NNT) to prevent infection is </w:t>
      </w:r>
    </w:p>
    <w:p w14:paraId="72C9D4ED" w14:textId="77777777" w:rsidR="00E51023" w:rsidRPr="00D96AFB" w:rsidRDefault="00E51023" w:rsidP="00E51023">
      <w:pPr>
        <w:ind w:left="1540" w:right="257"/>
        <w:jc w:val="both"/>
        <w:rPr>
          <w:rFonts w:asciiTheme="minorHAnsi" w:eastAsia="Calibri" w:hAnsiTheme="minorHAnsi" w:cstheme="minorHAnsi"/>
          <w:spacing w:val="15"/>
          <w:sz w:val="24"/>
          <w:szCs w:val="24"/>
        </w:rPr>
      </w:pPr>
      <w:r w:rsidRPr="004F5020">
        <w:rPr>
          <w:rFonts w:asciiTheme="minorHAnsi" w:eastAsia="Calibri" w:hAnsiTheme="minorHAnsi" w:cstheme="minorHAnsi"/>
          <w:sz w:val="24"/>
          <w:szCs w:val="24"/>
        </w:rPr>
        <w:t xml:space="preserve">lowest. Study investigators aimed to estimate the PAF and NNT of participants in the </w:t>
      </w:r>
      <w:proofErr w:type="spellStart"/>
      <w:r w:rsidRPr="004F5020">
        <w:rPr>
          <w:rFonts w:asciiTheme="minorHAnsi" w:eastAsia="Calibri" w:hAnsiTheme="minorHAnsi" w:cstheme="minorHAnsi"/>
          <w:sz w:val="24"/>
          <w:szCs w:val="24"/>
        </w:rPr>
        <w:t>iPrEx</w:t>
      </w:r>
      <w:proofErr w:type="spellEnd"/>
      <w:r w:rsidRPr="004F5020">
        <w:rPr>
          <w:rFonts w:asciiTheme="minorHAnsi" w:eastAsia="Calibri" w:hAnsiTheme="minorHAnsi" w:cstheme="minorHAnsi"/>
          <w:sz w:val="24"/>
          <w:szCs w:val="24"/>
        </w:rPr>
        <w:t xml:space="preserve"> (Pre-Exposure Prophylaxis </w:t>
      </w:r>
      <w:proofErr w:type="gramStart"/>
      <w:r w:rsidRPr="004F5020">
        <w:rPr>
          <w:rFonts w:asciiTheme="minorHAnsi" w:eastAsia="Calibri" w:hAnsiTheme="minorHAnsi" w:cstheme="minorHAnsi"/>
          <w:sz w:val="24"/>
          <w:szCs w:val="24"/>
        </w:rPr>
        <w:t xml:space="preserve">Initiative)   </w:t>
      </w:r>
      <w:proofErr w:type="gramEnd"/>
      <w:r w:rsidRPr="004F5020">
        <w:rPr>
          <w:rFonts w:asciiTheme="minorHAnsi" w:eastAsia="Calibri" w:hAnsiTheme="minorHAnsi" w:cstheme="minorHAnsi"/>
          <w:sz w:val="24"/>
          <w:szCs w:val="24"/>
        </w:rPr>
        <w:t xml:space="preserve"> trial.</w:t>
      </w:r>
      <w:r w:rsidRPr="004F5020">
        <w:rPr>
          <w:rFonts w:asciiTheme="minorHAnsi" w:eastAsia="Calibri" w:hAnsiTheme="minorHAnsi" w:cstheme="minorHAnsi"/>
          <w:spacing w:val="1"/>
          <w:sz w:val="24"/>
          <w:szCs w:val="24"/>
        </w:rPr>
        <w:t xml:space="preserve"> </w:t>
      </w:r>
      <w:r w:rsidRPr="004F5020">
        <w:rPr>
          <w:rFonts w:asciiTheme="minorHAnsi" w:eastAsia="Calibri" w:hAnsiTheme="minorHAnsi" w:cstheme="minorHAnsi"/>
          <w:spacing w:val="15"/>
          <w:sz w:val="24"/>
          <w:szCs w:val="24"/>
        </w:rPr>
        <w:t xml:space="preserve"> </w:t>
      </w:r>
      <w:r w:rsidRPr="004F5020">
        <w:rPr>
          <w:rFonts w:asciiTheme="minorHAnsi" w:hAnsiTheme="minorHAnsi" w:cstheme="minorHAnsi"/>
          <w:sz w:val="24"/>
          <w:szCs w:val="24"/>
          <w:shd w:val="clear" w:color="auto" w:fill="FFFFFF"/>
        </w:rPr>
        <w:t xml:space="preserve">The </w:t>
      </w:r>
      <w:proofErr w:type="spellStart"/>
      <w:r w:rsidRPr="004F5020">
        <w:rPr>
          <w:rFonts w:asciiTheme="minorHAnsi" w:hAnsiTheme="minorHAnsi" w:cstheme="minorHAnsi"/>
          <w:sz w:val="24"/>
          <w:szCs w:val="24"/>
          <w:shd w:val="clear" w:color="auto" w:fill="FFFFFF"/>
        </w:rPr>
        <w:t>iPrEx</w:t>
      </w:r>
      <w:proofErr w:type="spellEnd"/>
      <w:r w:rsidRPr="004F5020">
        <w:rPr>
          <w:rFonts w:asciiTheme="minorHAnsi" w:hAnsiTheme="minorHAnsi" w:cstheme="minorHAnsi"/>
          <w:sz w:val="24"/>
          <w:szCs w:val="24"/>
          <w:shd w:val="clear" w:color="auto" w:fill="FFFFFF"/>
        </w:rPr>
        <w:t xml:space="preserve"> study was a </w:t>
      </w:r>
      <w:proofErr w:type="spellStart"/>
      <w:r w:rsidRPr="004F5020">
        <w:rPr>
          <w:rFonts w:asciiTheme="minorHAnsi" w:hAnsiTheme="minorHAnsi" w:cstheme="minorHAnsi"/>
          <w:sz w:val="24"/>
          <w:szCs w:val="24"/>
          <w:shd w:val="clear" w:color="auto" w:fill="FFFFFF"/>
        </w:rPr>
        <w:t>randomised</w:t>
      </w:r>
      <w:proofErr w:type="spellEnd"/>
      <w:r w:rsidRPr="004F5020">
        <w:rPr>
          <w:rFonts w:asciiTheme="minorHAnsi" w:hAnsiTheme="minorHAnsi" w:cstheme="minorHAnsi"/>
          <w:sz w:val="24"/>
          <w:szCs w:val="24"/>
          <w:shd w:val="clear" w:color="auto" w:fill="FFFFFF"/>
        </w:rPr>
        <w:t xml:space="preserve"> controlled efficacy trial of pre-exposure prophylaxis with </w:t>
      </w:r>
      <w:proofErr w:type="spellStart"/>
      <w:r w:rsidRPr="004F5020">
        <w:rPr>
          <w:rFonts w:asciiTheme="minorHAnsi" w:hAnsiTheme="minorHAnsi" w:cstheme="minorHAnsi"/>
          <w:sz w:val="24"/>
          <w:szCs w:val="24"/>
          <w:shd w:val="clear" w:color="auto" w:fill="FFFFFF"/>
        </w:rPr>
        <w:t>coformulated</w:t>
      </w:r>
      <w:proofErr w:type="spellEnd"/>
      <w:r w:rsidRPr="004F5020">
        <w:rPr>
          <w:rFonts w:asciiTheme="minorHAnsi" w:hAnsiTheme="minorHAnsi" w:cstheme="minorHAnsi"/>
          <w:sz w:val="24"/>
          <w:szCs w:val="24"/>
          <w:shd w:val="clear" w:color="auto" w:fill="FFFFFF"/>
        </w:rPr>
        <w:t xml:space="preserve"> tenofovir disoproxil fumarate and emtricitabine in 2499 men who have sex with men (MSM) and transgender women. Participants aged 18 years or older who were male at birth were enrolled from 11 trial sites in Brazil, Ecuador, Peru, South Africa, Thailand, and the USA. Participants were randomly assigned (1:1) to receive either a pill with active pre-exposure prophylaxis or placebo, taken daily. </w:t>
      </w:r>
      <w:r>
        <w:rPr>
          <w:rFonts w:asciiTheme="minorHAnsi" w:hAnsiTheme="minorHAnsi" w:cstheme="minorHAnsi"/>
          <w:sz w:val="24"/>
          <w:szCs w:val="24"/>
          <w:shd w:val="clear" w:color="auto" w:fill="FFFFFF"/>
        </w:rPr>
        <w:t>Study investigators</w:t>
      </w:r>
      <w:r w:rsidRPr="004F5020">
        <w:rPr>
          <w:rFonts w:asciiTheme="minorHAnsi" w:hAnsiTheme="minorHAnsi" w:cstheme="minorHAnsi"/>
          <w:sz w:val="24"/>
          <w:szCs w:val="24"/>
          <w:shd w:val="clear" w:color="auto" w:fill="FFFFFF"/>
        </w:rPr>
        <w:t xml:space="preserve"> calculated the association between demographic and risk </w:t>
      </w:r>
      <w:proofErr w:type="spellStart"/>
      <w:r w:rsidRPr="004F5020">
        <w:rPr>
          <w:rFonts w:asciiTheme="minorHAnsi" w:hAnsiTheme="minorHAnsi" w:cstheme="minorHAnsi"/>
          <w:sz w:val="24"/>
          <w:szCs w:val="24"/>
          <w:shd w:val="clear" w:color="auto" w:fill="FFFFFF"/>
        </w:rPr>
        <w:t>behaviour</w:t>
      </w:r>
      <w:proofErr w:type="spellEnd"/>
      <w:r w:rsidRPr="004F5020">
        <w:rPr>
          <w:rFonts w:asciiTheme="minorHAnsi" w:hAnsiTheme="minorHAnsi" w:cstheme="minorHAnsi"/>
          <w:sz w:val="24"/>
          <w:szCs w:val="24"/>
          <w:shd w:val="clear" w:color="auto" w:fill="FFFFFF"/>
        </w:rPr>
        <w:t xml:space="preserve"> during screening and subsequent seroconversion among placebo recipients using a Poisson model, and we calculated the PAF and NNT for risk </w:t>
      </w:r>
      <w:proofErr w:type="spellStart"/>
      <w:r w:rsidRPr="004F5020">
        <w:rPr>
          <w:rFonts w:asciiTheme="minorHAnsi" w:hAnsiTheme="minorHAnsi" w:cstheme="minorHAnsi"/>
          <w:sz w:val="24"/>
          <w:szCs w:val="24"/>
          <w:shd w:val="clear" w:color="auto" w:fill="FFFFFF"/>
        </w:rPr>
        <w:t>behaviour</w:t>
      </w:r>
      <w:proofErr w:type="spellEnd"/>
      <w:r w:rsidRPr="004F5020">
        <w:rPr>
          <w:rFonts w:asciiTheme="minorHAnsi" w:hAnsiTheme="minorHAnsi" w:cstheme="minorHAnsi"/>
          <w:sz w:val="24"/>
          <w:szCs w:val="24"/>
          <w:shd w:val="clear" w:color="auto" w:fill="FFFFFF"/>
        </w:rPr>
        <w:t xml:space="preserve"> subgroups. </w:t>
      </w:r>
    </w:p>
    <w:p w14:paraId="05B375CB" w14:textId="7337220E" w:rsidR="00480E46" w:rsidRPr="00480E46" w:rsidRDefault="006D0BF4" w:rsidP="00480E46">
      <w:pPr>
        <w:ind w:left="820" w:right="257" w:hanging="360"/>
        <w:rPr>
          <w:rFonts w:asciiTheme="minorHAnsi" w:hAnsiTheme="minorHAnsi" w:cstheme="minorHAnsi"/>
          <w:sz w:val="24"/>
          <w:szCs w:val="24"/>
          <w:shd w:val="clear" w:color="auto" w:fill="FFFFFF"/>
        </w:rPr>
      </w:pPr>
      <w:r w:rsidRPr="006635C2">
        <w:rPr>
          <w:rFonts w:asciiTheme="minorHAnsi" w:eastAsia="Calibri" w:hAnsiTheme="minorHAnsi" w:cs="Calibri"/>
          <w:spacing w:val="1"/>
          <w:sz w:val="24"/>
          <w:szCs w:val="24"/>
          <w:lang w:val="es-US"/>
        </w:rPr>
        <w:t>5</w:t>
      </w:r>
      <w:r w:rsidR="003E656A" w:rsidRPr="006635C2">
        <w:rPr>
          <w:rFonts w:asciiTheme="minorHAnsi" w:eastAsia="Calibri" w:hAnsiTheme="minorHAnsi" w:cs="Calibri"/>
          <w:sz w:val="24"/>
          <w:szCs w:val="24"/>
          <w:lang w:val="es-US"/>
        </w:rPr>
        <w:t xml:space="preserve">.  </w:t>
      </w:r>
      <w:r w:rsidR="003E656A" w:rsidRPr="006635C2">
        <w:rPr>
          <w:rFonts w:asciiTheme="minorHAnsi" w:eastAsia="Calibri" w:hAnsiTheme="minorHAnsi" w:cs="Calibri"/>
          <w:spacing w:val="15"/>
          <w:sz w:val="24"/>
          <w:szCs w:val="24"/>
          <w:lang w:val="es-US"/>
        </w:rPr>
        <w:t xml:space="preserve"> </w:t>
      </w:r>
      <w:proofErr w:type="spellStart"/>
      <w:r w:rsidR="00480E46" w:rsidRPr="00E51023">
        <w:rPr>
          <w:rFonts w:asciiTheme="minorHAnsi" w:hAnsiTheme="minorHAnsi" w:cstheme="minorHAnsi"/>
          <w:sz w:val="24"/>
          <w:szCs w:val="24"/>
          <w:shd w:val="clear" w:color="auto" w:fill="FFFFFF"/>
          <w:lang w:val="es-US"/>
        </w:rPr>
        <w:t>Mujugira</w:t>
      </w:r>
      <w:proofErr w:type="spellEnd"/>
      <w:r w:rsidR="00480E46" w:rsidRPr="00E51023">
        <w:rPr>
          <w:rFonts w:asciiTheme="minorHAnsi" w:hAnsiTheme="minorHAnsi" w:cstheme="minorHAnsi"/>
          <w:sz w:val="24"/>
          <w:szCs w:val="24"/>
          <w:shd w:val="clear" w:color="auto" w:fill="FFFFFF"/>
          <w:lang w:val="es-US"/>
        </w:rPr>
        <w:t xml:space="preserve"> A</w:t>
      </w:r>
      <w:r w:rsidR="00E51023" w:rsidRPr="00E51023">
        <w:rPr>
          <w:rFonts w:asciiTheme="minorHAnsi" w:hAnsiTheme="minorHAnsi" w:cstheme="minorHAnsi"/>
          <w:sz w:val="24"/>
          <w:szCs w:val="24"/>
          <w:shd w:val="clear" w:color="auto" w:fill="FFFFFF"/>
          <w:lang w:val="es-US"/>
        </w:rPr>
        <w:t>.</w:t>
      </w:r>
      <w:r w:rsidR="00480E46" w:rsidRPr="00E51023">
        <w:rPr>
          <w:rFonts w:asciiTheme="minorHAnsi" w:hAnsiTheme="minorHAnsi" w:cstheme="minorHAnsi"/>
          <w:sz w:val="24"/>
          <w:szCs w:val="24"/>
          <w:shd w:val="clear" w:color="auto" w:fill="FFFFFF"/>
          <w:lang w:val="es-US"/>
        </w:rPr>
        <w:t xml:space="preserve">, </w:t>
      </w:r>
      <w:proofErr w:type="spellStart"/>
      <w:r w:rsidR="00480E46" w:rsidRPr="00E51023">
        <w:rPr>
          <w:rFonts w:asciiTheme="minorHAnsi" w:hAnsiTheme="minorHAnsi" w:cstheme="minorHAnsi"/>
          <w:sz w:val="24"/>
          <w:szCs w:val="24"/>
          <w:shd w:val="clear" w:color="auto" w:fill="FFFFFF"/>
          <w:lang w:val="es-US"/>
        </w:rPr>
        <w:t>Baeten</w:t>
      </w:r>
      <w:proofErr w:type="spellEnd"/>
      <w:r w:rsidR="00480E46" w:rsidRPr="00E51023">
        <w:rPr>
          <w:rFonts w:asciiTheme="minorHAnsi" w:hAnsiTheme="minorHAnsi" w:cstheme="minorHAnsi"/>
          <w:sz w:val="24"/>
          <w:szCs w:val="24"/>
          <w:shd w:val="clear" w:color="auto" w:fill="FFFFFF"/>
          <w:lang w:val="es-US"/>
        </w:rPr>
        <w:t xml:space="preserve"> J</w:t>
      </w:r>
      <w:r w:rsidR="00E51023" w:rsidRPr="00E51023">
        <w:rPr>
          <w:rFonts w:asciiTheme="minorHAnsi" w:hAnsiTheme="minorHAnsi" w:cstheme="minorHAnsi"/>
          <w:sz w:val="24"/>
          <w:szCs w:val="24"/>
          <w:shd w:val="clear" w:color="auto" w:fill="FFFFFF"/>
          <w:lang w:val="es-US"/>
        </w:rPr>
        <w:t>.</w:t>
      </w:r>
      <w:r w:rsidR="00480E46" w:rsidRPr="00E51023">
        <w:rPr>
          <w:rFonts w:asciiTheme="minorHAnsi" w:hAnsiTheme="minorHAnsi" w:cstheme="minorHAnsi"/>
          <w:sz w:val="24"/>
          <w:szCs w:val="24"/>
          <w:shd w:val="clear" w:color="auto" w:fill="FFFFFF"/>
          <w:lang w:val="es-US"/>
        </w:rPr>
        <w:t>M</w:t>
      </w:r>
      <w:r w:rsidR="00E51023" w:rsidRPr="00E51023">
        <w:rPr>
          <w:rFonts w:asciiTheme="minorHAnsi" w:hAnsiTheme="minorHAnsi" w:cstheme="minorHAnsi"/>
          <w:sz w:val="24"/>
          <w:szCs w:val="24"/>
          <w:shd w:val="clear" w:color="auto" w:fill="FFFFFF"/>
          <w:lang w:val="es-US"/>
        </w:rPr>
        <w:t>.</w:t>
      </w:r>
      <w:r w:rsidR="00480E46" w:rsidRPr="00E51023">
        <w:rPr>
          <w:rFonts w:asciiTheme="minorHAnsi" w:hAnsiTheme="minorHAnsi" w:cstheme="minorHAnsi"/>
          <w:sz w:val="24"/>
          <w:szCs w:val="24"/>
          <w:shd w:val="clear" w:color="auto" w:fill="FFFFFF"/>
          <w:lang w:val="es-US"/>
        </w:rPr>
        <w:t xml:space="preserve">, </w:t>
      </w:r>
      <w:proofErr w:type="spellStart"/>
      <w:r w:rsidR="00480E46" w:rsidRPr="00E51023">
        <w:rPr>
          <w:rFonts w:asciiTheme="minorHAnsi" w:hAnsiTheme="minorHAnsi" w:cstheme="minorHAnsi"/>
          <w:sz w:val="24"/>
          <w:szCs w:val="24"/>
          <w:shd w:val="clear" w:color="auto" w:fill="FFFFFF"/>
          <w:lang w:val="es-US"/>
        </w:rPr>
        <w:t>Donnell</w:t>
      </w:r>
      <w:proofErr w:type="spellEnd"/>
      <w:r w:rsidR="00480E46" w:rsidRPr="00E51023">
        <w:rPr>
          <w:rFonts w:asciiTheme="minorHAnsi" w:hAnsiTheme="minorHAnsi" w:cstheme="minorHAnsi"/>
          <w:sz w:val="24"/>
          <w:szCs w:val="24"/>
          <w:shd w:val="clear" w:color="auto" w:fill="FFFFFF"/>
          <w:lang w:val="es-US"/>
        </w:rPr>
        <w:t xml:space="preserve"> D</w:t>
      </w:r>
      <w:r w:rsidR="00E51023">
        <w:rPr>
          <w:rFonts w:asciiTheme="minorHAnsi" w:hAnsiTheme="minorHAnsi" w:cstheme="minorHAnsi"/>
          <w:sz w:val="24"/>
          <w:szCs w:val="24"/>
          <w:shd w:val="clear" w:color="auto" w:fill="FFFFFF"/>
          <w:lang w:val="es-US"/>
        </w:rPr>
        <w:t>.</w:t>
      </w:r>
      <w:r w:rsidR="00480E46" w:rsidRPr="00E51023">
        <w:rPr>
          <w:rFonts w:asciiTheme="minorHAnsi" w:hAnsiTheme="minorHAnsi" w:cstheme="minorHAnsi"/>
          <w:sz w:val="24"/>
          <w:szCs w:val="24"/>
          <w:shd w:val="clear" w:color="auto" w:fill="FFFFFF"/>
          <w:lang w:val="es-US"/>
        </w:rPr>
        <w:t xml:space="preserve">, </w:t>
      </w:r>
      <w:proofErr w:type="spellStart"/>
      <w:r w:rsidR="00480E46" w:rsidRPr="00E51023">
        <w:rPr>
          <w:rFonts w:asciiTheme="minorHAnsi" w:hAnsiTheme="minorHAnsi" w:cstheme="minorHAnsi"/>
          <w:sz w:val="24"/>
          <w:szCs w:val="24"/>
          <w:shd w:val="clear" w:color="auto" w:fill="FFFFFF"/>
          <w:lang w:val="es-US"/>
        </w:rPr>
        <w:t>Ndase</w:t>
      </w:r>
      <w:proofErr w:type="spellEnd"/>
      <w:r w:rsidR="00480E46" w:rsidRPr="00E51023">
        <w:rPr>
          <w:rFonts w:asciiTheme="minorHAnsi" w:hAnsiTheme="minorHAnsi" w:cstheme="minorHAnsi"/>
          <w:sz w:val="24"/>
          <w:szCs w:val="24"/>
          <w:shd w:val="clear" w:color="auto" w:fill="FFFFFF"/>
          <w:lang w:val="es-US"/>
        </w:rPr>
        <w:t xml:space="preserve"> P</w:t>
      </w:r>
      <w:r w:rsidR="00E51023">
        <w:rPr>
          <w:rFonts w:asciiTheme="minorHAnsi" w:hAnsiTheme="minorHAnsi" w:cstheme="minorHAnsi"/>
          <w:sz w:val="24"/>
          <w:szCs w:val="24"/>
          <w:shd w:val="clear" w:color="auto" w:fill="FFFFFF"/>
          <w:lang w:val="es-US"/>
        </w:rPr>
        <w:t>.</w:t>
      </w:r>
      <w:r w:rsidR="00480E46" w:rsidRPr="00E51023">
        <w:rPr>
          <w:rFonts w:asciiTheme="minorHAnsi" w:hAnsiTheme="minorHAnsi" w:cstheme="minorHAnsi"/>
          <w:sz w:val="24"/>
          <w:szCs w:val="24"/>
          <w:shd w:val="clear" w:color="auto" w:fill="FFFFFF"/>
          <w:lang w:val="es-US"/>
        </w:rPr>
        <w:t xml:space="preserve">, et al. </w:t>
      </w:r>
      <w:r w:rsidR="00480E46" w:rsidRPr="00480E46">
        <w:rPr>
          <w:rFonts w:asciiTheme="minorHAnsi" w:hAnsiTheme="minorHAnsi" w:cstheme="minorHAnsi"/>
          <w:sz w:val="24"/>
          <w:szCs w:val="24"/>
          <w:shd w:val="clear" w:color="auto" w:fill="FFFFFF"/>
        </w:rPr>
        <w:t xml:space="preserve">(2011) Characteristics of HIV-1 </w:t>
      </w:r>
      <w:proofErr w:type="spellStart"/>
      <w:r w:rsidR="00480E46" w:rsidRPr="00480E46">
        <w:rPr>
          <w:rFonts w:asciiTheme="minorHAnsi" w:hAnsiTheme="minorHAnsi" w:cstheme="minorHAnsi"/>
          <w:sz w:val="24"/>
          <w:szCs w:val="24"/>
          <w:shd w:val="clear" w:color="auto" w:fill="FFFFFF"/>
        </w:rPr>
        <w:t>Serodiscordant</w:t>
      </w:r>
      <w:proofErr w:type="spellEnd"/>
      <w:r w:rsidR="00480E46" w:rsidRPr="00480E46">
        <w:rPr>
          <w:rFonts w:asciiTheme="minorHAnsi" w:hAnsiTheme="minorHAnsi" w:cstheme="minorHAnsi"/>
          <w:sz w:val="24"/>
          <w:szCs w:val="24"/>
          <w:shd w:val="clear" w:color="auto" w:fill="FFFFFF"/>
        </w:rPr>
        <w:t xml:space="preserve"> Couples Enrolled in a Clinical Trial of Antiretroviral Pre-Exposure Prophylaxis for HIV-1 Prevention. </w:t>
      </w:r>
      <w:proofErr w:type="spellStart"/>
      <w:r w:rsidR="00480E46" w:rsidRPr="006A14F2">
        <w:rPr>
          <w:rFonts w:asciiTheme="minorHAnsi" w:hAnsiTheme="minorHAnsi" w:cstheme="minorHAnsi"/>
          <w:i/>
          <w:sz w:val="24"/>
          <w:szCs w:val="24"/>
          <w:shd w:val="clear" w:color="auto" w:fill="FFFFFF"/>
        </w:rPr>
        <w:t>PLoS</w:t>
      </w:r>
      <w:proofErr w:type="spellEnd"/>
      <w:r w:rsidR="00480E46" w:rsidRPr="006A14F2">
        <w:rPr>
          <w:rFonts w:asciiTheme="minorHAnsi" w:hAnsiTheme="minorHAnsi" w:cstheme="minorHAnsi"/>
          <w:i/>
          <w:sz w:val="24"/>
          <w:szCs w:val="24"/>
          <w:shd w:val="clear" w:color="auto" w:fill="FFFFFF"/>
        </w:rPr>
        <w:t xml:space="preserve"> ONE</w:t>
      </w:r>
      <w:r w:rsidR="006A14F2">
        <w:rPr>
          <w:rFonts w:asciiTheme="minorHAnsi" w:hAnsiTheme="minorHAnsi" w:cstheme="minorHAnsi"/>
          <w:i/>
          <w:sz w:val="24"/>
          <w:szCs w:val="24"/>
          <w:shd w:val="clear" w:color="auto" w:fill="FFFFFF"/>
        </w:rPr>
        <w:t>.</w:t>
      </w:r>
      <w:r w:rsidR="00480E46" w:rsidRPr="00480E46">
        <w:rPr>
          <w:rFonts w:asciiTheme="minorHAnsi" w:hAnsiTheme="minorHAnsi" w:cstheme="minorHAnsi"/>
          <w:sz w:val="24"/>
          <w:szCs w:val="24"/>
          <w:shd w:val="clear" w:color="auto" w:fill="FFFFFF"/>
        </w:rPr>
        <w:t xml:space="preserve"> 6(10): e25828. </w:t>
      </w:r>
      <w:hyperlink r:id="rId6" w:history="1">
        <w:r w:rsidR="00480E46" w:rsidRPr="00480E46">
          <w:rPr>
            <w:rStyle w:val="Hyperlink"/>
            <w:rFonts w:asciiTheme="minorHAnsi" w:hAnsiTheme="minorHAnsi" w:cstheme="minorHAnsi"/>
            <w:color w:val="auto"/>
            <w:sz w:val="24"/>
            <w:szCs w:val="24"/>
            <w:shd w:val="clear" w:color="auto" w:fill="FFFFFF"/>
          </w:rPr>
          <w:t>https://doi.org/10.1371/journal.pone.0025828</w:t>
        </w:r>
      </w:hyperlink>
    </w:p>
    <w:p w14:paraId="2BB30707" w14:textId="24475861" w:rsidR="006A14F2" w:rsidRDefault="006A14F2" w:rsidP="006A14F2">
      <w:pPr>
        <w:ind w:left="820" w:right="257"/>
        <w:rPr>
          <w:rFonts w:asciiTheme="minorHAnsi" w:eastAsia="Calibri" w:hAnsiTheme="minorHAnsi" w:cstheme="minorHAnsi"/>
          <w:sz w:val="24"/>
          <w:szCs w:val="24"/>
        </w:rPr>
      </w:pPr>
      <w:r>
        <w:rPr>
          <w:rFonts w:asciiTheme="minorHAnsi" w:eastAsia="Calibri" w:hAnsiTheme="minorHAnsi" w:cstheme="minorHAnsi"/>
          <w:sz w:val="24"/>
          <w:szCs w:val="24"/>
        </w:rPr>
        <w:tab/>
      </w:r>
      <w:r w:rsidRPr="006A14F2">
        <w:rPr>
          <w:rFonts w:asciiTheme="minorHAnsi" w:eastAsia="Calibri" w:hAnsiTheme="minorHAnsi" w:cstheme="minorHAnsi"/>
          <w:sz w:val="24"/>
          <w:szCs w:val="24"/>
        </w:rPr>
        <w:t xml:space="preserve">Stable heterosexual HIV-1 </w:t>
      </w:r>
      <w:proofErr w:type="spellStart"/>
      <w:r w:rsidRPr="006A14F2">
        <w:rPr>
          <w:rFonts w:asciiTheme="minorHAnsi" w:eastAsia="Calibri" w:hAnsiTheme="minorHAnsi" w:cstheme="minorHAnsi"/>
          <w:sz w:val="24"/>
          <w:szCs w:val="24"/>
        </w:rPr>
        <w:t>serodiscordant</w:t>
      </w:r>
      <w:proofErr w:type="spellEnd"/>
      <w:r w:rsidRPr="006A14F2">
        <w:rPr>
          <w:rFonts w:asciiTheme="minorHAnsi" w:eastAsia="Calibri" w:hAnsiTheme="minorHAnsi" w:cstheme="minorHAnsi"/>
          <w:sz w:val="24"/>
          <w:szCs w:val="24"/>
        </w:rPr>
        <w:t xml:space="preserve"> couples in Africa have high HIV-1 transmission rates and are a critical population for </w:t>
      </w:r>
      <w:r>
        <w:rPr>
          <w:rFonts w:asciiTheme="minorHAnsi" w:eastAsia="Calibri" w:hAnsiTheme="minorHAnsi" w:cstheme="minorHAnsi"/>
          <w:sz w:val="24"/>
          <w:szCs w:val="24"/>
        </w:rPr>
        <w:tab/>
      </w:r>
      <w:r w:rsidRPr="006A14F2">
        <w:rPr>
          <w:rFonts w:asciiTheme="minorHAnsi" w:eastAsia="Calibri" w:hAnsiTheme="minorHAnsi" w:cstheme="minorHAnsi"/>
          <w:sz w:val="24"/>
          <w:szCs w:val="24"/>
        </w:rPr>
        <w:t xml:space="preserve">evaluation of new HIV-1 prevention strategies. The Partners </w:t>
      </w:r>
      <w:proofErr w:type="spellStart"/>
      <w:r w:rsidRPr="006A14F2">
        <w:rPr>
          <w:rFonts w:asciiTheme="minorHAnsi" w:eastAsia="Calibri" w:hAnsiTheme="minorHAnsi" w:cstheme="minorHAnsi"/>
          <w:sz w:val="24"/>
          <w:szCs w:val="24"/>
        </w:rPr>
        <w:t>PrEP</w:t>
      </w:r>
      <w:proofErr w:type="spellEnd"/>
      <w:r w:rsidRPr="006A14F2">
        <w:rPr>
          <w:rFonts w:asciiTheme="minorHAnsi" w:eastAsia="Calibri" w:hAnsiTheme="minorHAnsi" w:cstheme="minorHAnsi"/>
          <w:sz w:val="24"/>
          <w:szCs w:val="24"/>
        </w:rPr>
        <w:t xml:space="preserve"> Study is a randomized, double-blind, placebo-controlled trial of </w:t>
      </w:r>
      <w:r>
        <w:rPr>
          <w:rFonts w:asciiTheme="minorHAnsi" w:eastAsia="Calibri" w:hAnsiTheme="minorHAnsi" w:cstheme="minorHAnsi"/>
          <w:sz w:val="24"/>
          <w:szCs w:val="24"/>
        </w:rPr>
        <w:tab/>
      </w:r>
      <w:r w:rsidRPr="006A14F2">
        <w:rPr>
          <w:rFonts w:asciiTheme="minorHAnsi" w:eastAsia="Calibri" w:hAnsiTheme="minorHAnsi" w:cstheme="minorHAnsi"/>
          <w:sz w:val="24"/>
          <w:szCs w:val="24"/>
        </w:rPr>
        <w:t xml:space="preserve">tenofovir and emtricitabine-tenofovir pre-exposure prophylaxis to decrease HIV-1 acquisition within heterosexual HIV-1 </w:t>
      </w:r>
      <w:r>
        <w:rPr>
          <w:rFonts w:asciiTheme="minorHAnsi" w:eastAsia="Calibri" w:hAnsiTheme="minorHAnsi" w:cstheme="minorHAnsi"/>
          <w:sz w:val="24"/>
          <w:szCs w:val="24"/>
        </w:rPr>
        <w:tab/>
      </w:r>
      <w:proofErr w:type="spellStart"/>
      <w:r w:rsidRPr="006A14F2">
        <w:rPr>
          <w:rFonts w:asciiTheme="minorHAnsi" w:eastAsia="Calibri" w:hAnsiTheme="minorHAnsi" w:cstheme="minorHAnsi"/>
          <w:sz w:val="24"/>
          <w:szCs w:val="24"/>
        </w:rPr>
        <w:t>serodiscordant</w:t>
      </w:r>
      <w:proofErr w:type="spellEnd"/>
      <w:r w:rsidRPr="006A14F2">
        <w:rPr>
          <w:rFonts w:asciiTheme="minorHAnsi" w:eastAsia="Calibri" w:hAnsiTheme="minorHAnsi" w:cstheme="minorHAnsi"/>
          <w:sz w:val="24"/>
          <w:szCs w:val="24"/>
        </w:rPr>
        <w:t xml:space="preserve"> couples. We describe the trial design and char</w:t>
      </w:r>
      <w:r>
        <w:rPr>
          <w:rFonts w:asciiTheme="minorHAnsi" w:eastAsia="Calibri" w:hAnsiTheme="minorHAnsi" w:cstheme="minorHAnsi"/>
          <w:sz w:val="24"/>
          <w:szCs w:val="24"/>
        </w:rPr>
        <w:t>acteristics of the study cohort.</w:t>
      </w:r>
    </w:p>
    <w:p w14:paraId="0AE3BD07" w14:textId="32101946" w:rsidR="00B42D45" w:rsidRDefault="006D0BF4" w:rsidP="003F7762">
      <w:pPr>
        <w:ind w:left="820" w:right="257" w:hanging="360"/>
        <w:rPr>
          <w:rFonts w:asciiTheme="minorHAnsi" w:eastAsia="Calibri" w:hAnsiTheme="minorHAnsi" w:cstheme="minorHAnsi"/>
          <w:sz w:val="24"/>
          <w:szCs w:val="24"/>
        </w:rPr>
      </w:pPr>
      <w:r>
        <w:rPr>
          <w:rFonts w:asciiTheme="minorHAnsi" w:eastAsia="Calibri" w:hAnsiTheme="minorHAnsi" w:cs="Calibri"/>
          <w:spacing w:val="1"/>
          <w:sz w:val="24"/>
          <w:szCs w:val="24"/>
        </w:rPr>
        <w:t>6</w:t>
      </w:r>
      <w:r w:rsidR="003F7762" w:rsidRPr="00EB17C6">
        <w:rPr>
          <w:rFonts w:asciiTheme="minorHAnsi" w:eastAsia="Calibri" w:hAnsiTheme="minorHAnsi" w:cs="Calibri"/>
          <w:sz w:val="24"/>
          <w:szCs w:val="24"/>
        </w:rPr>
        <w:t xml:space="preserve">.  </w:t>
      </w:r>
      <w:r w:rsidR="003F7762" w:rsidRPr="00EB17C6">
        <w:rPr>
          <w:rFonts w:asciiTheme="minorHAnsi" w:eastAsia="Calibri" w:hAnsiTheme="minorHAnsi" w:cs="Calibri"/>
          <w:spacing w:val="15"/>
          <w:sz w:val="24"/>
          <w:szCs w:val="24"/>
        </w:rPr>
        <w:t xml:space="preserve"> </w:t>
      </w:r>
      <w:r w:rsidR="006A14F2" w:rsidRPr="006A14F2">
        <w:rPr>
          <w:rFonts w:asciiTheme="minorHAnsi" w:hAnsiTheme="minorHAnsi" w:cstheme="minorHAnsi"/>
          <w:color w:val="000000"/>
          <w:sz w:val="24"/>
          <w:szCs w:val="24"/>
          <w:shd w:val="clear" w:color="auto" w:fill="FFFFFF"/>
        </w:rPr>
        <w:t>Thigpen M</w:t>
      </w:r>
      <w:r w:rsidR="00E51023">
        <w:rPr>
          <w:rFonts w:asciiTheme="minorHAnsi" w:hAnsiTheme="minorHAnsi" w:cstheme="minorHAnsi"/>
          <w:color w:val="000000"/>
          <w:sz w:val="24"/>
          <w:szCs w:val="24"/>
          <w:shd w:val="clear" w:color="auto" w:fill="FFFFFF"/>
        </w:rPr>
        <w:t>.</w:t>
      </w:r>
      <w:r w:rsidR="006A14F2" w:rsidRPr="006A14F2">
        <w:rPr>
          <w:rFonts w:asciiTheme="minorHAnsi" w:hAnsiTheme="minorHAnsi" w:cstheme="minorHAnsi"/>
          <w:color w:val="000000"/>
          <w:sz w:val="24"/>
          <w:szCs w:val="24"/>
          <w:shd w:val="clear" w:color="auto" w:fill="FFFFFF"/>
        </w:rPr>
        <w:t>C</w:t>
      </w:r>
      <w:r w:rsidR="00E51023">
        <w:rPr>
          <w:rFonts w:asciiTheme="minorHAnsi" w:hAnsiTheme="minorHAnsi" w:cstheme="minorHAnsi"/>
          <w:color w:val="000000"/>
          <w:sz w:val="24"/>
          <w:szCs w:val="24"/>
          <w:shd w:val="clear" w:color="auto" w:fill="FFFFFF"/>
        </w:rPr>
        <w:t>.</w:t>
      </w:r>
      <w:r w:rsidR="006A14F2" w:rsidRPr="006A14F2">
        <w:rPr>
          <w:rFonts w:asciiTheme="minorHAnsi" w:hAnsiTheme="minorHAnsi" w:cstheme="minorHAnsi"/>
          <w:color w:val="000000"/>
          <w:sz w:val="24"/>
          <w:szCs w:val="24"/>
          <w:shd w:val="clear" w:color="auto" w:fill="FFFFFF"/>
        </w:rPr>
        <w:t xml:space="preserve">, </w:t>
      </w:r>
      <w:proofErr w:type="spellStart"/>
      <w:r w:rsidR="006A14F2" w:rsidRPr="006A14F2">
        <w:rPr>
          <w:rFonts w:asciiTheme="minorHAnsi" w:hAnsiTheme="minorHAnsi" w:cstheme="minorHAnsi"/>
          <w:color w:val="000000"/>
          <w:sz w:val="24"/>
          <w:szCs w:val="24"/>
          <w:shd w:val="clear" w:color="auto" w:fill="FFFFFF"/>
        </w:rPr>
        <w:t>Kebaabetswe</w:t>
      </w:r>
      <w:proofErr w:type="spellEnd"/>
      <w:r w:rsidR="006A14F2" w:rsidRPr="006A14F2">
        <w:rPr>
          <w:rFonts w:asciiTheme="minorHAnsi" w:hAnsiTheme="minorHAnsi" w:cstheme="minorHAnsi"/>
          <w:color w:val="000000"/>
          <w:sz w:val="24"/>
          <w:szCs w:val="24"/>
          <w:shd w:val="clear" w:color="auto" w:fill="FFFFFF"/>
        </w:rPr>
        <w:t xml:space="preserve"> P</w:t>
      </w:r>
      <w:r w:rsidR="00E51023">
        <w:rPr>
          <w:rFonts w:asciiTheme="minorHAnsi" w:hAnsiTheme="minorHAnsi" w:cstheme="minorHAnsi"/>
          <w:color w:val="000000"/>
          <w:sz w:val="24"/>
          <w:szCs w:val="24"/>
          <w:shd w:val="clear" w:color="auto" w:fill="FFFFFF"/>
        </w:rPr>
        <w:t>.</w:t>
      </w:r>
      <w:r w:rsidR="006A14F2" w:rsidRPr="006A14F2">
        <w:rPr>
          <w:rFonts w:asciiTheme="minorHAnsi" w:hAnsiTheme="minorHAnsi" w:cstheme="minorHAnsi"/>
          <w:color w:val="000000"/>
          <w:sz w:val="24"/>
          <w:szCs w:val="24"/>
          <w:shd w:val="clear" w:color="auto" w:fill="FFFFFF"/>
        </w:rPr>
        <w:t>M</w:t>
      </w:r>
      <w:r w:rsidR="00E51023">
        <w:rPr>
          <w:rFonts w:asciiTheme="minorHAnsi" w:hAnsiTheme="minorHAnsi" w:cstheme="minorHAnsi"/>
          <w:color w:val="000000"/>
          <w:sz w:val="24"/>
          <w:szCs w:val="24"/>
          <w:shd w:val="clear" w:color="auto" w:fill="FFFFFF"/>
        </w:rPr>
        <w:t>.</w:t>
      </w:r>
      <w:r w:rsidR="006A14F2" w:rsidRPr="006A14F2">
        <w:rPr>
          <w:rFonts w:asciiTheme="minorHAnsi" w:hAnsiTheme="minorHAnsi" w:cstheme="minorHAnsi"/>
          <w:color w:val="000000"/>
          <w:sz w:val="24"/>
          <w:szCs w:val="24"/>
          <w:shd w:val="clear" w:color="auto" w:fill="FFFFFF"/>
        </w:rPr>
        <w:t>, Smith D</w:t>
      </w:r>
      <w:r w:rsidR="00E51023">
        <w:rPr>
          <w:rFonts w:asciiTheme="minorHAnsi" w:hAnsiTheme="minorHAnsi" w:cstheme="minorHAnsi"/>
          <w:color w:val="000000"/>
          <w:sz w:val="24"/>
          <w:szCs w:val="24"/>
          <w:shd w:val="clear" w:color="auto" w:fill="FFFFFF"/>
        </w:rPr>
        <w:t>.</w:t>
      </w:r>
      <w:r w:rsidR="006A14F2" w:rsidRPr="006A14F2">
        <w:rPr>
          <w:rFonts w:asciiTheme="minorHAnsi" w:hAnsiTheme="minorHAnsi" w:cstheme="minorHAnsi"/>
          <w:color w:val="000000"/>
          <w:sz w:val="24"/>
          <w:szCs w:val="24"/>
          <w:shd w:val="clear" w:color="auto" w:fill="FFFFFF"/>
        </w:rPr>
        <w:t>K</w:t>
      </w:r>
      <w:r w:rsidR="00E51023">
        <w:rPr>
          <w:rFonts w:asciiTheme="minorHAnsi" w:hAnsiTheme="minorHAnsi" w:cstheme="minorHAnsi"/>
          <w:color w:val="000000"/>
          <w:sz w:val="24"/>
          <w:szCs w:val="24"/>
          <w:shd w:val="clear" w:color="auto" w:fill="FFFFFF"/>
        </w:rPr>
        <w:t>.</w:t>
      </w:r>
      <w:r w:rsidR="006A14F2" w:rsidRPr="006A14F2">
        <w:rPr>
          <w:rFonts w:asciiTheme="minorHAnsi" w:hAnsiTheme="minorHAnsi" w:cstheme="minorHAnsi"/>
          <w:color w:val="000000"/>
          <w:sz w:val="24"/>
          <w:szCs w:val="24"/>
          <w:shd w:val="clear" w:color="auto" w:fill="FFFFFF"/>
        </w:rPr>
        <w:t>, et al. Daily oral antiretroviral use for the prevention of HIV infection in heterosexually active young adults in Botswana: results from the TDF2 study. 6th IAS Conference on HIV Pathogenesis, Treatment and Prevention; Rome, Italy. 17–20 July 2011; p. Abstract WELBC01.</w:t>
      </w:r>
    </w:p>
    <w:p w14:paraId="430CDA6A" w14:textId="33914895" w:rsidR="003F7762" w:rsidRPr="00EB17C6" w:rsidRDefault="00D20FDE" w:rsidP="00EB17C6">
      <w:pPr>
        <w:tabs>
          <w:tab w:val="left" w:pos="1540"/>
        </w:tabs>
        <w:spacing w:before="3" w:line="280" w:lineRule="exact"/>
        <w:ind w:left="1540" w:right="112" w:hanging="360"/>
        <w:jc w:val="both"/>
        <w:rPr>
          <w:rFonts w:asciiTheme="minorHAnsi" w:eastAsia="Calibri" w:hAnsiTheme="minorHAnsi" w:cs="Calibri"/>
          <w:sz w:val="24"/>
          <w:szCs w:val="24"/>
        </w:rPr>
      </w:pPr>
      <w:r w:rsidRPr="00EB17C6">
        <w:rPr>
          <w:rFonts w:asciiTheme="minorHAnsi" w:eastAsia="Calibri" w:hAnsiTheme="minorHAnsi" w:cs="Calibri"/>
          <w:sz w:val="24"/>
          <w:szCs w:val="24"/>
        </w:rPr>
        <w:t>navigation.</w:t>
      </w:r>
    </w:p>
    <w:p w14:paraId="4677FBD2" w14:textId="3BDAA0A9" w:rsidR="00F16E1C" w:rsidRDefault="006D0BF4" w:rsidP="00A07C02">
      <w:pPr>
        <w:ind w:left="820" w:right="257" w:hanging="360"/>
        <w:rPr>
          <w:rFonts w:asciiTheme="minorHAnsi" w:eastAsia="Calibri" w:hAnsiTheme="minorHAnsi" w:cstheme="minorHAnsi"/>
          <w:sz w:val="24"/>
          <w:szCs w:val="24"/>
        </w:rPr>
      </w:pPr>
      <w:r>
        <w:rPr>
          <w:rFonts w:asciiTheme="minorHAnsi" w:eastAsia="Calibri" w:hAnsiTheme="minorHAnsi" w:cs="Calibri"/>
          <w:spacing w:val="1"/>
          <w:sz w:val="24"/>
          <w:szCs w:val="24"/>
        </w:rPr>
        <w:t>7</w:t>
      </w:r>
      <w:r w:rsidR="00EB17C6">
        <w:rPr>
          <w:rFonts w:asciiTheme="minorHAnsi" w:eastAsia="Calibri" w:hAnsiTheme="minorHAnsi" w:cs="Calibri"/>
          <w:sz w:val="24"/>
          <w:szCs w:val="24"/>
        </w:rPr>
        <w:t xml:space="preserve">. </w:t>
      </w:r>
      <w:r w:rsidR="00F16E1C">
        <w:rPr>
          <w:rFonts w:asciiTheme="minorHAnsi" w:eastAsia="Calibri" w:hAnsiTheme="minorHAnsi" w:cs="Calibri"/>
          <w:sz w:val="24"/>
          <w:szCs w:val="24"/>
        </w:rPr>
        <w:tab/>
      </w:r>
      <w:r w:rsidR="00D5162B">
        <w:rPr>
          <w:rFonts w:asciiTheme="minorHAnsi" w:eastAsia="Calibri" w:hAnsiTheme="minorHAnsi" w:cs="Calibri"/>
          <w:sz w:val="24"/>
          <w:szCs w:val="24"/>
        </w:rPr>
        <w:t>Martin, M</w:t>
      </w:r>
      <w:r w:rsidR="00E51023">
        <w:rPr>
          <w:rFonts w:asciiTheme="minorHAnsi" w:eastAsia="Calibri" w:hAnsiTheme="minorHAnsi" w:cs="Calibri"/>
          <w:sz w:val="24"/>
          <w:szCs w:val="24"/>
        </w:rPr>
        <w:t>.</w:t>
      </w:r>
      <w:r w:rsidR="00E720F5" w:rsidRPr="00EB17C6">
        <w:rPr>
          <w:rFonts w:asciiTheme="minorHAnsi" w:eastAsia="Calibri" w:hAnsiTheme="minorHAnsi" w:cs="Calibri"/>
          <w:sz w:val="24"/>
          <w:szCs w:val="24"/>
        </w:rPr>
        <w:t>,</w:t>
      </w:r>
      <w:r w:rsidR="00D5162B">
        <w:rPr>
          <w:rFonts w:asciiTheme="minorHAnsi" w:eastAsia="Calibri" w:hAnsiTheme="minorHAnsi" w:cs="Calibri"/>
          <w:sz w:val="24"/>
          <w:szCs w:val="24"/>
        </w:rPr>
        <w:t xml:space="preserve"> </w:t>
      </w:r>
      <w:proofErr w:type="spellStart"/>
      <w:r w:rsidR="00D5162B">
        <w:rPr>
          <w:rFonts w:asciiTheme="minorHAnsi" w:eastAsia="Calibri" w:hAnsiTheme="minorHAnsi" w:cs="Calibri"/>
          <w:sz w:val="24"/>
          <w:szCs w:val="24"/>
        </w:rPr>
        <w:t>Vanichseni</w:t>
      </w:r>
      <w:proofErr w:type="spellEnd"/>
      <w:r w:rsidR="00D5162B">
        <w:rPr>
          <w:rFonts w:asciiTheme="minorHAnsi" w:eastAsia="Calibri" w:hAnsiTheme="minorHAnsi" w:cs="Calibri"/>
          <w:sz w:val="24"/>
          <w:szCs w:val="24"/>
        </w:rPr>
        <w:t>, S</w:t>
      </w:r>
      <w:r w:rsidR="00E51023">
        <w:rPr>
          <w:rFonts w:asciiTheme="minorHAnsi" w:eastAsia="Calibri" w:hAnsiTheme="minorHAnsi" w:cs="Calibri"/>
          <w:sz w:val="24"/>
          <w:szCs w:val="24"/>
        </w:rPr>
        <w:t>.</w:t>
      </w:r>
      <w:r w:rsidR="00D5162B">
        <w:rPr>
          <w:rFonts w:asciiTheme="minorHAnsi" w:eastAsia="Calibri" w:hAnsiTheme="minorHAnsi" w:cs="Calibri"/>
          <w:sz w:val="24"/>
          <w:szCs w:val="24"/>
        </w:rPr>
        <w:t>,</w:t>
      </w:r>
      <w:r w:rsidR="001D18EB">
        <w:rPr>
          <w:rFonts w:asciiTheme="minorHAnsi" w:eastAsia="Calibri" w:hAnsiTheme="minorHAnsi" w:cs="Calibri"/>
          <w:sz w:val="24"/>
          <w:szCs w:val="24"/>
        </w:rPr>
        <w:t xml:space="preserve"> </w:t>
      </w:r>
      <w:proofErr w:type="spellStart"/>
      <w:r w:rsidR="001D18EB">
        <w:rPr>
          <w:rFonts w:asciiTheme="minorHAnsi" w:eastAsia="Calibri" w:hAnsiTheme="minorHAnsi" w:cs="Calibri"/>
          <w:sz w:val="24"/>
          <w:szCs w:val="24"/>
        </w:rPr>
        <w:t>Suntharasamai</w:t>
      </w:r>
      <w:proofErr w:type="spellEnd"/>
      <w:r w:rsidR="001D18EB">
        <w:rPr>
          <w:rFonts w:asciiTheme="minorHAnsi" w:eastAsia="Calibri" w:hAnsiTheme="minorHAnsi" w:cs="Calibri"/>
          <w:sz w:val="24"/>
          <w:szCs w:val="24"/>
        </w:rPr>
        <w:t>, P</w:t>
      </w:r>
      <w:r w:rsidR="00E51023">
        <w:rPr>
          <w:rFonts w:asciiTheme="minorHAnsi" w:eastAsia="Calibri" w:hAnsiTheme="minorHAnsi" w:cs="Calibri"/>
          <w:sz w:val="24"/>
          <w:szCs w:val="24"/>
        </w:rPr>
        <w:t>.</w:t>
      </w:r>
      <w:r w:rsidR="001D18EB">
        <w:rPr>
          <w:rFonts w:asciiTheme="minorHAnsi" w:eastAsia="Calibri" w:hAnsiTheme="minorHAnsi" w:cs="Calibri"/>
          <w:sz w:val="24"/>
          <w:szCs w:val="24"/>
        </w:rPr>
        <w:t xml:space="preserve">, </w:t>
      </w:r>
      <w:proofErr w:type="spellStart"/>
      <w:r w:rsidR="001D18EB">
        <w:rPr>
          <w:rFonts w:asciiTheme="minorHAnsi" w:eastAsia="Calibri" w:hAnsiTheme="minorHAnsi" w:cs="Calibri"/>
          <w:sz w:val="24"/>
          <w:szCs w:val="24"/>
        </w:rPr>
        <w:t>Sangkum</w:t>
      </w:r>
      <w:proofErr w:type="spellEnd"/>
      <w:r w:rsidR="001D18EB">
        <w:rPr>
          <w:rFonts w:asciiTheme="minorHAnsi" w:eastAsia="Calibri" w:hAnsiTheme="minorHAnsi" w:cs="Calibri"/>
          <w:sz w:val="24"/>
          <w:szCs w:val="24"/>
        </w:rPr>
        <w:t>, U</w:t>
      </w:r>
      <w:r w:rsidR="00E51023">
        <w:rPr>
          <w:rFonts w:asciiTheme="minorHAnsi" w:eastAsia="Calibri" w:hAnsiTheme="minorHAnsi" w:cs="Calibri"/>
          <w:sz w:val="24"/>
          <w:szCs w:val="24"/>
        </w:rPr>
        <w:t>.</w:t>
      </w:r>
      <w:r w:rsidR="001D18EB">
        <w:rPr>
          <w:rFonts w:asciiTheme="minorHAnsi" w:eastAsia="Calibri" w:hAnsiTheme="minorHAnsi" w:cs="Calibri"/>
          <w:sz w:val="24"/>
          <w:szCs w:val="24"/>
        </w:rPr>
        <w:t xml:space="preserve">, </w:t>
      </w:r>
      <w:proofErr w:type="spellStart"/>
      <w:r w:rsidR="00D5162B">
        <w:rPr>
          <w:rFonts w:asciiTheme="minorHAnsi" w:eastAsia="Calibri" w:hAnsiTheme="minorHAnsi" w:cs="Calibri"/>
          <w:sz w:val="24"/>
          <w:szCs w:val="24"/>
        </w:rPr>
        <w:t>Chuachoowong</w:t>
      </w:r>
      <w:proofErr w:type="spellEnd"/>
      <w:r w:rsidR="00D5162B">
        <w:rPr>
          <w:rFonts w:asciiTheme="minorHAnsi" w:eastAsia="Calibri" w:hAnsiTheme="minorHAnsi" w:cs="Calibri"/>
          <w:sz w:val="24"/>
          <w:szCs w:val="24"/>
        </w:rPr>
        <w:t>, R</w:t>
      </w:r>
      <w:r w:rsidR="00E51023">
        <w:rPr>
          <w:rFonts w:asciiTheme="minorHAnsi" w:eastAsia="Calibri" w:hAnsiTheme="minorHAnsi" w:cs="Calibri"/>
          <w:sz w:val="24"/>
          <w:szCs w:val="24"/>
        </w:rPr>
        <w:t>.</w:t>
      </w:r>
      <w:r w:rsidR="00D5162B">
        <w:rPr>
          <w:rFonts w:asciiTheme="minorHAnsi" w:eastAsia="Calibri" w:hAnsiTheme="minorHAnsi" w:cs="Calibri"/>
          <w:sz w:val="24"/>
          <w:szCs w:val="24"/>
        </w:rPr>
        <w:t>, et al.</w:t>
      </w:r>
      <w:r w:rsidR="00E720F5" w:rsidRPr="00EB17C6">
        <w:rPr>
          <w:rFonts w:asciiTheme="minorHAnsi" w:eastAsia="Calibri" w:hAnsiTheme="minorHAnsi" w:cs="Calibri"/>
          <w:sz w:val="24"/>
          <w:szCs w:val="24"/>
        </w:rPr>
        <w:t xml:space="preserve"> (</w:t>
      </w:r>
      <w:r w:rsidR="00D5162B">
        <w:rPr>
          <w:rFonts w:asciiTheme="minorHAnsi" w:eastAsia="Calibri" w:hAnsiTheme="minorHAnsi" w:cs="Calibri"/>
          <w:sz w:val="24"/>
          <w:szCs w:val="24"/>
        </w:rPr>
        <w:t>2011</w:t>
      </w:r>
      <w:r w:rsidR="00E720F5" w:rsidRPr="00EB17C6">
        <w:rPr>
          <w:rFonts w:asciiTheme="minorHAnsi" w:eastAsia="Calibri" w:hAnsiTheme="minorHAnsi" w:cs="Calibri"/>
          <w:sz w:val="24"/>
          <w:szCs w:val="24"/>
        </w:rPr>
        <w:t xml:space="preserve">). </w:t>
      </w:r>
      <w:r w:rsidR="00D5162B">
        <w:rPr>
          <w:rFonts w:asciiTheme="minorHAnsi" w:eastAsia="Calibri" w:hAnsiTheme="minorHAnsi" w:cs="Calibri"/>
          <w:sz w:val="24"/>
          <w:szCs w:val="24"/>
        </w:rPr>
        <w:t xml:space="preserve">Enrollment </w:t>
      </w:r>
      <w:r w:rsidR="00F16E1C">
        <w:rPr>
          <w:rFonts w:asciiTheme="minorHAnsi" w:eastAsia="Calibri" w:hAnsiTheme="minorHAnsi" w:cstheme="minorHAnsi"/>
          <w:sz w:val="24"/>
          <w:szCs w:val="24"/>
        </w:rPr>
        <w:t>Characteristics and Risk</w:t>
      </w:r>
    </w:p>
    <w:p w14:paraId="5F23DA90" w14:textId="04048122" w:rsidR="00A07C02" w:rsidRPr="00EB17C6" w:rsidRDefault="00F16E1C" w:rsidP="00A07C02">
      <w:pPr>
        <w:ind w:left="820" w:right="257" w:hanging="360"/>
        <w:rPr>
          <w:rFonts w:asciiTheme="minorHAnsi" w:eastAsia="Calibri" w:hAnsiTheme="minorHAnsi" w:cs="Calibri"/>
          <w:sz w:val="24"/>
          <w:szCs w:val="24"/>
        </w:rPr>
      </w:pPr>
      <w:r>
        <w:rPr>
          <w:rFonts w:asciiTheme="minorHAnsi" w:eastAsia="Calibri" w:hAnsiTheme="minorHAnsi" w:cstheme="minorHAnsi"/>
          <w:sz w:val="24"/>
          <w:szCs w:val="24"/>
        </w:rPr>
        <w:tab/>
      </w:r>
      <w:r w:rsidR="00D5162B" w:rsidRPr="00D5162B">
        <w:rPr>
          <w:rFonts w:asciiTheme="minorHAnsi" w:eastAsia="Calibri" w:hAnsiTheme="minorHAnsi" w:cstheme="minorHAnsi"/>
          <w:sz w:val="24"/>
          <w:szCs w:val="24"/>
        </w:rPr>
        <w:t>Behaviors of Injection Drug Users Participating in the Bangkok Tenofovir Study, Thailand</w:t>
      </w:r>
      <w:r w:rsidR="00E720F5" w:rsidRPr="00D5162B">
        <w:rPr>
          <w:rFonts w:asciiTheme="minorHAnsi" w:eastAsia="Calibri" w:hAnsiTheme="minorHAnsi" w:cstheme="minorHAnsi"/>
          <w:sz w:val="24"/>
          <w:szCs w:val="24"/>
        </w:rPr>
        <w:t xml:space="preserve">. </w:t>
      </w:r>
      <w:proofErr w:type="spellStart"/>
      <w:r w:rsidR="00D5162B" w:rsidRPr="00D5162B">
        <w:rPr>
          <w:rFonts w:asciiTheme="minorHAnsi" w:eastAsia="Calibri" w:hAnsiTheme="minorHAnsi" w:cstheme="minorHAnsi"/>
          <w:i/>
          <w:sz w:val="24"/>
          <w:szCs w:val="24"/>
        </w:rPr>
        <w:t>PLoS</w:t>
      </w:r>
      <w:proofErr w:type="spellEnd"/>
      <w:r w:rsidR="00D5162B" w:rsidRPr="00D5162B">
        <w:rPr>
          <w:rFonts w:asciiTheme="minorHAnsi" w:eastAsia="Calibri" w:hAnsiTheme="minorHAnsi" w:cstheme="minorHAnsi"/>
          <w:i/>
          <w:sz w:val="24"/>
          <w:szCs w:val="24"/>
        </w:rPr>
        <w:t xml:space="preserve"> One</w:t>
      </w:r>
      <w:r w:rsidR="00A07C02" w:rsidRPr="00D5162B">
        <w:rPr>
          <w:rFonts w:asciiTheme="minorHAnsi" w:eastAsia="Calibri" w:hAnsiTheme="minorHAnsi" w:cstheme="minorHAnsi"/>
          <w:sz w:val="24"/>
          <w:szCs w:val="24"/>
        </w:rPr>
        <w:t xml:space="preserve">. </w:t>
      </w:r>
      <w:r w:rsidR="00D5162B" w:rsidRPr="00D5162B">
        <w:rPr>
          <w:rFonts w:asciiTheme="minorHAnsi" w:eastAsia="Calibri" w:hAnsiTheme="minorHAnsi" w:cstheme="minorHAnsi"/>
          <w:i/>
          <w:sz w:val="24"/>
          <w:szCs w:val="24"/>
        </w:rPr>
        <w:t>6</w:t>
      </w:r>
      <w:r w:rsidR="00A07C02" w:rsidRPr="00D5162B">
        <w:rPr>
          <w:rFonts w:asciiTheme="minorHAnsi" w:eastAsia="Calibri" w:hAnsiTheme="minorHAnsi" w:cstheme="minorHAnsi"/>
          <w:sz w:val="24"/>
          <w:szCs w:val="24"/>
        </w:rPr>
        <w:t>(</w:t>
      </w:r>
      <w:r w:rsidR="00D5162B" w:rsidRPr="00D5162B">
        <w:rPr>
          <w:rFonts w:asciiTheme="minorHAnsi" w:eastAsia="Calibri" w:hAnsiTheme="minorHAnsi" w:cstheme="minorHAnsi"/>
          <w:sz w:val="24"/>
          <w:szCs w:val="24"/>
        </w:rPr>
        <w:t>9</w:t>
      </w:r>
      <w:proofErr w:type="gramStart"/>
      <w:r w:rsidR="00A07C02" w:rsidRPr="00D5162B">
        <w:rPr>
          <w:rFonts w:asciiTheme="minorHAnsi" w:eastAsia="Calibri" w:hAnsiTheme="minorHAnsi" w:cstheme="minorHAnsi"/>
          <w:sz w:val="24"/>
          <w:szCs w:val="24"/>
        </w:rPr>
        <w:t>):</w:t>
      </w:r>
      <w:r w:rsidR="00D5162B" w:rsidRPr="00D5162B">
        <w:rPr>
          <w:rFonts w:asciiTheme="minorHAnsi" w:eastAsia="Calibri" w:hAnsiTheme="minorHAnsi" w:cstheme="minorHAnsi"/>
          <w:sz w:val="24"/>
          <w:szCs w:val="24"/>
        </w:rPr>
        <w:t>e</w:t>
      </w:r>
      <w:proofErr w:type="gramEnd"/>
      <w:r w:rsidR="00D5162B" w:rsidRPr="00D5162B">
        <w:rPr>
          <w:rFonts w:asciiTheme="minorHAnsi" w:eastAsia="Calibri" w:hAnsiTheme="minorHAnsi" w:cstheme="minorHAnsi"/>
          <w:sz w:val="24"/>
          <w:szCs w:val="24"/>
        </w:rPr>
        <w:t>25127</w:t>
      </w:r>
      <w:r w:rsidR="00A07C02" w:rsidRPr="00D5162B">
        <w:rPr>
          <w:rFonts w:asciiTheme="minorHAnsi" w:eastAsia="Calibri" w:hAnsiTheme="minorHAnsi" w:cstheme="minorHAnsi"/>
          <w:sz w:val="24"/>
          <w:szCs w:val="24"/>
        </w:rPr>
        <w:t xml:space="preserve">. </w:t>
      </w:r>
      <w:r w:rsidR="00D5162B" w:rsidRPr="00D5162B">
        <w:rPr>
          <w:rFonts w:asciiTheme="minorHAnsi" w:eastAsia="Calibri" w:hAnsiTheme="minorHAnsi" w:cstheme="minorHAnsi"/>
          <w:sz w:val="24"/>
          <w:szCs w:val="24"/>
        </w:rPr>
        <w:t xml:space="preserve">DOI: </w:t>
      </w:r>
      <w:hyperlink r:id="rId7" w:tgtFrame="pmc_ext" w:history="1">
        <w:r w:rsidR="00D5162B" w:rsidRPr="00D5162B">
          <w:rPr>
            <w:rStyle w:val="Hyperlink"/>
            <w:rFonts w:asciiTheme="minorHAnsi" w:eastAsiaTheme="majorEastAsia" w:hAnsiTheme="minorHAnsi" w:cstheme="minorHAnsi"/>
            <w:color w:val="642A8F"/>
            <w:sz w:val="24"/>
            <w:szCs w:val="24"/>
            <w:shd w:val="clear" w:color="auto" w:fill="FFFFFF"/>
          </w:rPr>
          <w:t>10.1371/journal.pone.0025127</w:t>
        </w:r>
      </w:hyperlink>
    </w:p>
    <w:p w14:paraId="43D628E2" w14:textId="2607B16E" w:rsidR="003D3F0B" w:rsidRDefault="00A07C02" w:rsidP="00EB17C6">
      <w:pPr>
        <w:tabs>
          <w:tab w:val="left" w:pos="1540"/>
        </w:tabs>
        <w:spacing w:before="3" w:line="280" w:lineRule="exact"/>
        <w:ind w:left="1540" w:right="112" w:hanging="360"/>
        <w:jc w:val="both"/>
        <w:rPr>
          <w:rFonts w:asciiTheme="minorHAnsi" w:hAnsiTheme="minorHAnsi" w:cstheme="minorHAnsi"/>
          <w:color w:val="000000"/>
          <w:sz w:val="24"/>
          <w:szCs w:val="24"/>
          <w:shd w:val="clear" w:color="auto" w:fill="FFFFFF"/>
        </w:rPr>
      </w:pPr>
      <w:r w:rsidRPr="00EB17C6">
        <w:rPr>
          <w:rFonts w:asciiTheme="minorHAnsi" w:hAnsiTheme="minorHAnsi"/>
          <w:sz w:val="24"/>
          <w:szCs w:val="24"/>
        </w:rPr>
        <w:tab/>
      </w:r>
      <w:r w:rsidR="001D18EB" w:rsidRPr="001D18EB">
        <w:rPr>
          <w:rFonts w:asciiTheme="minorHAnsi" w:hAnsiTheme="minorHAnsi" w:cstheme="minorHAnsi"/>
          <w:color w:val="000000"/>
          <w:sz w:val="24"/>
          <w:szCs w:val="24"/>
          <w:shd w:val="clear" w:color="auto" w:fill="FFFFFF"/>
        </w:rPr>
        <w:t>The Bangkok Tenofovir Study was launched in 2005 to determine if pre-exposure prophylaxis with tenofovir will reduce the risk of HIV infection among injecting drug users (IDUs). Study investigators describe recruitment, screening, enrollment, and baseline characteristics of study participants and contrast risk behavior of Tenofovir Study participants with participants in the 1999–2003 AIDSVAX B/E Vaccine Trial. The Bangkok Tenofovir Study is an ongoing, phase-3, randomized, double-blind, placebo-controlled, HIV pre-exposure prophylaxis trial of daily oral tenofovir. The Tenofovir Study and the Vaccine Trial were conducted among IDUs at 17 drug-treatment clinics in Bangkok. Tenofovir Study sample size was based on HIV incidence in the Vaccine Trial. Standardized questionnaires were used to collect demographic, risk behavior, and incarceration data. </w:t>
      </w:r>
    </w:p>
    <w:p w14:paraId="2F18F685" w14:textId="50FAFBD8" w:rsidR="00F56A64" w:rsidRPr="00F56A64" w:rsidRDefault="003D3F0B" w:rsidP="00F56A64">
      <w:pPr>
        <w:ind w:left="820" w:right="257" w:hanging="360"/>
        <w:rPr>
          <w:rFonts w:asciiTheme="minorHAnsi" w:eastAsiaTheme="majorEastAsia" w:hAnsiTheme="minorHAnsi" w:cstheme="minorHAnsi"/>
          <w:color w:val="642A8F"/>
          <w:sz w:val="24"/>
          <w:szCs w:val="24"/>
          <w:u w:val="single"/>
          <w:shd w:val="clear" w:color="auto" w:fill="FFFFFF"/>
        </w:rPr>
      </w:pPr>
      <w:r>
        <w:rPr>
          <w:rFonts w:asciiTheme="minorHAnsi" w:eastAsia="Calibri" w:hAnsiTheme="minorHAnsi" w:cs="Calibri"/>
          <w:spacing w:val="1"/>
          <w:sz w:val="24"/>
          <w:szCs w:val="24"/>
        </w:rPr>
        <w:t>8</w:t>
      </w:r>
      <w:r>
        <w:rPr>
          <w:rFonts w:asciiTheme="minorHAnsi" w:eastAsia="Calibri" w:hAnsiTheme="minorHAnsi" w:cs="Calibri"/>
          <w:sz w:val="24"/>
          <w:szCs w:val="24"/>
        </w:rPr>
        <w:t xml:space="preserve">. </w:t>
      </w:r>
      <w:r>
        <w:rPr>
          <w:rFonts w:asciiTheme="minorHAnsi" w:eastAsia="Calibri" w:hAnsiTheme="minorHAnsi" w:cs="Calibri"/>
          <w:sz w:val="24"/>
          <w:szCs w:val="24"/>
        </w:rPr>
        <w:tab/>
      </w:r>
      <w:r w:rsidR="00F56A64" w:rsidRPr="00F56A64">
        <w:rPr>
          <w:rFonts w:asciiTheme="minorHAnsi" w:eastAsia="Calibri" w:hAnsiTheme="minorHAnsi" w:cs="Calibri"/>
          <w:sz w:val="24"/>
          <w:szCs w:val="24"/>
        </w:rPr>
        <w:t xml:space="preserve">Molina, J.M., </w:t>
      </w:r>
      <w:proofErr w:type="spellStart"/>
      <w:r w:rsidR="00F56A64" w:rsidRPr="00F56A64">
        <w:rPr>
          <w:rFonts w:asciiTheme="minorHAnsi" w:eastAsia="Calibri" w:hAnsiTheme="minorHAnsi" w:cs="Calibri"/>
          <w:sz w:val="24"/>
          <w:szCs w:val="24"/>
        </w:rPr>
        <w:t>Capitant</w:t>
      </w:r>
      <w:proofErr w:type="spellEnd"/>
      <w:r w:rsidR="00F56A64" w:rsidRPr="00F56A64">
        <w:rPr>
          <w:rFonts w:asciiTheme="minorHAnsi" w:eastAsia="Calibri" w:hAnsiTheme="minorHAnsi" w:cs="Calibri"/>
          <w:sz w:val="24"/>
          <w:szCs w:val="24"/>
        </w:rPr>
        <w:t>, C., Sp</w:t>
      </w:r>
      <w:r w:rsidR="00F56A64">
        <w:rPr>
          <w:rFonts w:asciiTheme="minorHAnsi" w:eastAsia="Calibri" w:hAnsiTheme="minorHAnsi" w:cs="Calibri"/>
          <w:sz w:val="24"/>
          <w:szCs w:val="24"/>
        </w:rPr>
        <w:t xml:space="preserve">ire, B., </w:t>
      </w:r>
      <w:proofErr w:type="spellStart"/>
      <w:r w:rsidR="00F56A64">
        <w:rPr>
          <w:rFonts w:asciiTheme="minorHAnsi" w:eastAsia="Calibri" w:hAnsiTheme="minorHAnsi" w:cs="Calibri"/>
          <w:sz w:val="24"/>
          <w:szCs w:val="24"/>
        </w:rPr>
        <w:t>Pialoux</w:t>
      </w:r>
      <w:proofErr w:type="spellEnd"/>
      <w:r w:rsidR="00F56A64">
        <w:rPr>
          <w:rFonts w:asciiTheme="minorHAnsi" w:eastAsia="Calibri" w:hAnsiTheme="minorHAnsi" w:cs="Calibri"/>
          <w:sz w:val="24"/>
          <w:szCs w:val="24"/>
        </w:rPr>
        <w:t>, G.</w:t>
      </w:r>
      <w:r w:rsidRPr="00F56A64">
        <w:rPr>
          <w:rFonts w:asciiTheme="minorHAnsi" w:eastAsia="Calibri" w:hAnsiTheme="minorHAnsi" w:cs="Calibri"/>
          <w:sz w:val="24"/>
          <w:szCs w:val="24"/>
        </w:rPr>
        <w:t>,</w:t>
      </w:r>
      <w:r w:rsidR="00F56A64">
        <w:rPr>
          <w:rFonts w:asciiTheme="minorHAnsi" w:eastAsia="Calibri" w:hAnsiTheme="minorHAnsi" w:cs="Calibri"/>
          <w:sz w:val="24"/>
          <w:szCs w:val="24"/>
        </w:rPr>
        <w:t xml:space="preserve"> et al. </w:t>
      </w:r>
      <w:r w:rsidRPr="00EB17C6">
        <w:rPr>
          <w:rFonts w:asciiTheme="minorHAnsi" w:eastAsia="Calibri" w:hAnsiTheme="minorHAnsi" w:cs="Calibri"/>
          <w:sz w:val="24"/>
          <w:szCs w:val="24"/>
        </w:rPr>
        <w:t>(</w:t>
      </w:r>
      <w:r w:rsidR="00F56A64">
        <w:rPr>
          <w:rFonts w:asciiTheme="minorHAnsi" w:eastAsia="Calibri" w:hAnsiTheme="minorHAnsi" w:cs="Calibri"/>
          <w:sz w:val="24"/>
          <w:szCs w:val="24"/>
        </w:rPr>
        <w:t>2015</w:t>
      </w:r>
      <w:r w:rsidRPr="00EB17C6">
        <w:rPr>
          <w:rFonts w:asciiTheme="minorHAnsi" w:eastAsia="Calibri" w:hAnsiTheme="minorHAnsi" w:cs="Calibri"/>
          <w:sz w:val="24"/>
          <w:szCs w:val="24"/>
        </w:rPr>
        <w:t xml:space="preserve">). </w:t>
      </w:r>
      <w:r w:rsidR="00F56A64">
        <w:rPr>
          <w:rFonts w:asciiTheme="minorHAnsi" w:eastAsia="Calibri" w:hAnsiTheme="minorHAnsi" w:cs="Calibri"/>
          <w:sz w:val="24"/>
          <w:szCs w:val="24"/>
        </w:rPr>
        <w:t>On-Demand Preexposure Prophylaxis in men at High Risk for HIV-1 Infection.</w:t>
      </w:r>
      <w:r w:rsidRPr="00D5162B">
        <w:rPr>
          <w:rFonts w:asciiTheme="minorHAnsi" w:eastAsia="Calibri" w:hAnsiTheme="minorHAnsi" w:cstheme="minorHAnsi"/>
          <w:sz w:val="24"/>
          <w:szCs w:val="24"/>
        </w:rPr>
        <w:t xml:space="preserve"> </w:t>
      </w:r>
      <w:r w:rsidR="00F56A64">
        <w:rPr>
          <w:rFonts w:asciiTheme="minorHAnsi" w:eastAsia="Calibri" w:hAnsiTheme="minorHAnsi" w:cstheme="minorHAnsi"/>
          <w:i/>
          <w:sz w:val="24"/>
          <w:szCs w:val="24"/>
        </w:rPr>
        <w:t>New England Journal of Medicine</w:t>
      </w:r>
      <w:r w:rsidRPr="00D5162B">
        <w:rPr>
          <w:rFonts w:asciiTheme="minorHAnsi" w:eastAsia="Calibri" w:hAnsiTheme="minorHAnsi" w:cstheme="minorHAnsi"/>
          <w:sz w:val="24"/>
          <w:szCs w:val="24"/>
        </w:rPr>
        <w:t xml:space="preserve">. </w:t>
      </w:r>
      <w:r w:rsidR="00F56A64">
        <w:rPr>
          <w:rFonts w:asciiTheme="minorHAnsi" w:eastAsia="Calibri" w:hAnsiTheme="minorHAnsi" w:cstheme="minorHAnsi"/>
          <w:i/>
          <w:sz w:val="24"/>
          <w:szCs w:val="24"/>
        </w:rPr>
        <w:t>373</w:t>
      </w:r>
      <w:r w:rsidRPr="00D5162B">
        <w:rPr>
          <w:rFonts w:asciiTheme="minorHAnsi" w:eastAsia="Calibri" w:hAnsiTheme="minorHAnsi" w:cstheme="minorHAnsi"/>
          <w:sz w:val="24"/>
          <w:szCs w:val="24"/>
        </w:rPr>
        <w:t>(</w:t>
      </w:r>
      <w:r w:rsidR="00F56A64">
        <w:rPr>
          <w:rFonts w:asciiTheme="minorHAnsi" w:eastAsia="Calibri" w:hAnsiTheme="minorHAnsi" w:cstheme="minorHAnsi"/>
          <w:sz w:val="24"/>
          <w:szCs w:val="24"/>
        </w:rPr>
        <w:t>23</w:t>
      </w:r>
      <w:r w:rsidRPr="00D5162B">
        <w:rPr>
          <w:rFonts w:asciiTheme="minorHAnsi" w:eastAsia="Calibri" w:hAnsiTheme="minorHAnsi" w:cstheme="minorHAnsi"/>
          <w:sz w:val="24"/>
          <w:szCs w:val="24"/>
        </w:rPr>
        <w:t>)</w:t>
      </w:r>
      <w:r w:rsidR="00F56A64">
        <w:rPr>
          <w:rFonts w:asciiTheme="minorHAnsi" w:eastAsia="Calibri" w:hAnsiTheme="minorHAnsi" w:cstheme="minorHAnsi"/>
          <w:sz w:val="24"/>
          <w:szCs w:val="24"/>
        </w:rPr>
        <w:t xml:space="preserve">, 2237-2246. </w:t>
      </w:r>
      <w:r w:rsidR="00F56A64" w:rsidRPr="00997BF2">
        <w:rPr>
          <w:rFonts w:asciiTheme="minorHAnsi" w:eastAsia="Calibri" w:hAnsiTheme="minorHAnsi" w:cstheme="minorHAnsi"/>
          <w:sz w:val="24"/>
          <w:szCs w:val="24"/>
        </w:rPr>
        <w:t xml:space="preserve">DOI: </w:t>
      </w:r>
      <w:r w:rsidR="00F56A64" w:rsidRPr="00997BF2">
        <w:rPr>
          <w:rFonts w:asciiTheme="minorHAnsi" w:hAnsiTheme="minorHAnsi" w:cstheme="minorHAnsi"/>
          <w:color w:val="000000"/>
          <w:sz w:val="24"/>
          <w:szCs w:val="24"/>
          <w:shd w:val="clear" w:color="auto" w:fill="FFFFFF"/>
        </w:rPr>
        <w:t>10.1056/NEJMoa1506273</w:t>
      </w:r>
    </w:p>
    <w:p w14:paraId="27DBC09C" w14:textId="1E6BB99D" w:rsidR="00997BF2" w:rsidRPr="00F56A64" w:rsidRDefault="003D3F0B" w:rsidP="00EB17C6">
      <w:pPr>
        <w:tabs>
          <w:tab w:val="left" w:pos="1540"/>
        </w:tabs>
        <w:spacing w:before="3" w:line="280" w:lineRule="exact"/>
        <w:ind w:left="1540" w:right="112" w:hanging="360"/>
        <w:jc w:val="both"/>
        <w:rPr>
          <w:rFonts w:asciiTheme="minorHAnsi" w:eastAsia="Calibri" w:hAnsiTheme="minorHAnsi" w:cstheme="minorHAnsi"/>
          <w:sz w:val="24"/>
          <w:szCs w:val="24"/>
        </w:rPr>
      </w:pPr>
      <w:r w:rsidRPr="00EB17C6">
        <w:rPr>
          <w:rFonts w:asciiTheme="minorHAnsi" w:hAnsiTheme="minorHAnsi"/>
          <w:sz w:val="24"/>
          <w:szCs w:val="24"/>
        </w:rPr>
        <w:tab/>
      </w:r>
      <w:r w:rsidR="00F56A64" w:rsidRPr="00F56A64">
        <w:rPr>
          <w:rFonts w:asciiTheme="minorHAnsi" w:hAnsiTheme="minorHAnsi" w:cstheme="minorHAnsi"/>
          <w:color w:val="000000"/>
          <w:sz w:val="24"/>
          <w:szCs w:val="24"/>
          <w:shd w:val="clear" w:color="auto" w:fill="FFFFFF"/>
        </w:rPr>
        <w:t>Antiretroviral preexposure prophylaxis has been shown to reduce the risk of human immunodeficiency virus type 1 (HIV-1) infection in some studies, but conflicting results have been reported among studies, probably due to challenges of adherence to a daily regimen. Study investigators conducted a double-blind, randomized trial of antiretroviral therapy for preexposure HIV-1 prophylaxis among men who have unprotected anal sex with men. Participants were randomly assigned to take a combination of tenofovir disoproxil fumarate (TDF) and emtricitabine (FTC) or placebo before and after sexual activity. All participants received risk-reduction counseling and condoms and were regularly tested for HIV-1 and HIV-2 and other sexually transmitted infections.</w:t>
      </w:r>
      <w:bookmarkStart w:id="1" w:name="_Hlk502898294"/>
    </w:p>
    <w:bookmarkEnd w:id="1"/>
    <w:p w14:paraId="13727594" w14:textId="1AE3647B" w:rsidR="00C77DBA" w:rsidRPr="00EB17C6" w:rsidRDefault="00C77DBA" w:rsidP="001768ED">
      <w:pPr>
        <w:ind w:left="820" w:right="257" w:hanging="360"/>
        <w:rPr>
          <w:rFonts w:asciiTheme="minorHAnsi" w:eastAsia="Calibri" w:hAnsiTheme="minorHAnsi" w:cs="Calibri"/>
          <w:sz w:val="24"/>
          <w:szCs w:val="24"/>
        </w:rPr>
      </w:pPr>
      <w:r>
        <w:rPr>
          <w:rFonts w:asciiTheme="minorHAnsi" w:eastAsia="Calibri" w:hAnsiTheme="minorHAnsi" w:cs="Calibri"/>
          <w:spacing w:val="1"/>
          <w:sz w:val="24"/>
          <w:szCs w:val="24"/>
        </w:rPr>
        <w:t>9</w:t>
      </w:r>
      <w:r>
        <w:rPr>
          <w:rFonts w:asciiTheme="minorHAnsi" w:eastAsia="Calibri" w:hAnsiTheme="minorHAnsi" w:cs="Calibri"/>
          <w:sz w:val="24"/>
          <w:szCs w:val="24"/>
        </w:rPr>
        <w:t xml:space="preserve">. </w:t>
      </w:r>
      <w:r>
        <w:rPr>
          <w:rFonts w:asciiTheme="minorHAnsi" w:eastAsia="Calibri" w:hAnsiTheme="minorHAnsi" w:cs="Calibri"/>
          <w:sz w:val="24"/>
          <w:szCs w:val="24"/>
        </w:rPr>
        <w:tab/>
        <w:t xml:space="preserve">McCormack, S., Dunn, D., Desai, M., Dolling, D.I., et al. </w:t>
      </w:r>
      <w:r w:rsidRPr="00EB17C6">
        <w:rPr>
          <w:rFonts w:asciiTheme="minorHAnsi" w:eastAsia="Calibri" w:hAnsiTheme="minorHAnsi" w:cs="Calibri"/>
          <w:sz w:val="24"/>
          <w:szCs w:val="24"/>
        </w:rPr>
        <w:t>(</w:t>
      </w:r>
      <w:r>
        <w:rPr>
          <w:rFonts w:asciiTheme="minorHAnsi" w:eastAsia="Calibri" w:hAnsiTheme="minorHAnsi" w:cs="Calibri"/>
          <w:sz w:val="24"/>
          <w:szCs w:val="24"/>
        </w:rPr>
        <w:t>2016</w:t>
      </w:r>
      <w:r w:rsidRPr="00EB17C6">
        <w:rPr>
          <w:rFonts w:asciiTheme="minorHAnsi" w:eastAsia="Calibri" w:hAnsiTheme="minorHAnsi" w:cs="Calibri"/>
          <w:sz w:val="24"/>
          <w:szCs w:val="24"/>
        </w:rPr>
        <w:t xml:space="preserve">). </w:t>
      </w:r>
      <w:r>
        <w:rPr>
          <w:rFonts w:asciiTheme="minorHAnsi" w:eastAsia="Calibri" w:hAnsiTheme="minorHAnsi" w:cs="Calibri"/>
          <w:sz w:val="24"/>
          <w:szCs w:val="24"/>
        </w:rPr>
        <w:t>Pre-exposure Prophylaxis to Prevent the Acquisition of HIV-1 Infection (PROUD): Effectiveness Results from the Pilot Phase of a Pragmatic Open-</w:t>
      </w:r>
      <w:proofErr w:type="spellStart"/>
      <w:r>
        <w:rPr>
          <w:rFonts w:asciiTheme="minorHAnsi" w:eastAsia="Calibri" w:hAnsiTheme="minorHAnsi" w:cs="Calibri"/>
          <w:sz w:val="24"/>
          <w:szCs w:val="24"/>
        </w:rPr>
        <w:t>Lbel</w:t>
      </w:r>
      <w:proofErr w:type="spellEnd"/>
      <w:r>
        <w:rPr>
          <w:rFonts w:asciiTheme="minorHAnsi" w:eastAsia="Calibri" w:hAnsiTheme="minorHAnsi" w:cs="Calibri"/>
          <w:sz w:val="24"/>
          <w:szCs w:val="24"/>
        </w:rPr>
        <w:t xml:space="preserve"> </w:t>
      </w:r>
      <w:proofErr w:type="spellStart"/>
      <w:r>
        <w:rPr>
          <w:rFonts w:asciiTheme="minorHAnsi" w:eastAsia="Calibri" w:hAnsiTheme="minorHAnsi" w:cs="Calibri"/>
          <w:sz w:val="24"/>
          <w:szCs w:val="24"/>
        </w:rPr>
        <w:t>Randomised</w:t>
      </w:r>
      <w:proofErr w:type="spellEnd"/>
      <w:r>
        <w:rPr>
          <w:rFonts w:asciiTheme="minorHAnsi" w:eastAsia="Calibri" w:hAnsiTheme="minorHAnsi" w:cs="Calibri"/>
          <w:sz w:val="24"/>
          <w:szCs w:val="24"/>
        </w:rPr>
        <w:t xml:space="preserve"> Trial.</w:t>
      </w:r>
      <w:r w:rsidRPr="00D5162B">
        <w:rPr>
          <w:rFonts w:asciiTheme="minorHAnsi" w:eastAsia="Calibri" w:hAnsiTheme="minorHAnsi" w:cstheme="minorHAnsi"/>
          <w:sz w:val="24"/>
          <w:szCs w:val="24"/>
        </w:rPr>
        <w:t xml:space="preserve"> </w:t>
      </w:r>
      <w:r>
        <w:rPr>
          <w:rFonts w:asciiTheme="minorHAnsi" w:eastAsia="Calibri" w:hAnsiTheme="minorHAnsi" w:cstheme="minorHAnsi"/>
          <w:i/>
          <w:sz w:val="24"/>
          <w:szCs w:val="24"/>
        </w:rPr>
        <w:t>Lancet Infectious Diseases</w:t>
      </w:r>
      <w:r w:rsidRPr="00D5162B">
        <w:rPr>
          <w:rFonts w:asciiTheme="minorHAnsi" w:eastAsia="Calibri" w:hAnsiTheme="minorHAnsi" w:cstheme="minorHAnsi"/>
          <w:sz w:val="24"/>
          <w:szCs w:val="24"/>
        </w:rPr>
        <w:t xml:space="preserve">. </w:t>
      </w:r>
      <w:r>
        <w:rPr>
          <w:rFonts w:asciiTheme="minorHAnsi" w:eastAsia="Calibri" w:hAnsiTheme="minorHAnsi" w:cstheme="minorHAnsi"/>
          <w:i/>
          <w:sz w:val="24"/>
          <w:szCs w:val="24"/>
        </w:rPr>
        <w:t>387</w:t>
      </w:r>
      <w:r w:rsidRPr="00D5162B">
        <w:rPr>
          <w:rFonts w:asciiTheme="minorHAnsi" w:eastAsia="Calibri" w:hAnsiTheme="minorHAnsi" w:cstheme="minorHAnsi"/>
          <w:sz w:val="24"/>
          <w:szCs w:val="24"/>
        </w:rPr>
        <w:t>(</w:t>
      </w:r>
      <w:r>
        <w:rPr>
          <w:rFonts w:asciiTheme="minorHAnsi" w:eastAsia="Calibri" w:hAnsiTheme="minorHAnsi" w:cstheme="minorHAnsi"/>
          <w:sz w:val="24"/>
          <w:szCs w:val="24"/>
        </w:rPr>
        <w:t>10013</w:t>
      </w:r>
      <w:r w:rsidRPr="00D5162B">
        <w:rPr>
          <w:rFonts w:asciiTheme="minorHAnsi" w:eastAsia="Calibri" w:hAnsiTheme="minorHAnsi" w:cstheme="minorHAnsi"/>
          <w:sz w:val="24"/>
          <w:szCs w:val="24"/>
        </w:rPr>
        <w:t>)</w:t>
      </w:r>
      <w:r>
        <w:rPr>
          <w:rFonts w:asciiTheme="minorHAnsi" w:eastAsia="Calibri" w:hAnsiTheme="minorHAnsi" w:cstheme="minorHAnsi"/>
          <w:sz w:val="24"/>
          <w:szCs w:val="24"/>
        </w:rPr>
        <w:t xml:space="preserve">, 53-60. </w:t>
      </w:r>
      <w:r w:rsidRPr="00C77DBA">
        <w:rPr>
          <w:rFonts w:asciiTheme="minorHAnsi" w:eastAsia="Calibri" w:hAnsiTheme="minorHAnsi" w:cstheme="minorHAnsi"/>
          <w:sz w:val="24"/>
          <w:szCs w:val="24"/>
        </w:rPr>
        <w:t>DOI: 10.1016/S0140-6736(15)00056-2</w:t>
      </w:r>
    </w:p>
    <w:p w14:paraId="39887A71" w14:textId="3FCE275D" w:rsidR="00CE07F8" w:rsidRPr="00A24C22" w:rsidRDefault="001768ED" w:rsidP="001768ED">
      <w:pPr>
        <w:tabs>
          <w:tab w:val="left" w:pos="1540"/>
        </w:tabs>
        <w:spacing w:before="3" w:line="280" w:lineRule="exact"/>
        <w:ind w:left="1540" w:right="112" w:hanging="360"/>
        <w:jc w:val="both"/>
        <w:rPr>
          <w:rFonts w:asciiTheme="minorHAnsi" w:hAnsiTheme="minorHAnsi" w:cstheme="minorHAnsi"/>
          <w:color w:val="000000"/>
          <w:sz w:val="24"/>
          <w:szCs w:val="24"/>
          <w:shd w:val="clear" w:color="auto" w:fill="FFFFFF"/>
        </w:rPr>
      </w:pPr>
      <w:r w:rsidRPr="00EB17C6">
        <w:rPr>
          <w:rFonts w:asciiTheme="minorHAnsi" w:hAnsiTheme="minorHAnsi"/>
          <w:sz w:val="24"/>
          <w:szCs w:val="24"/>
        </w:rPr>
        <w:tab/>
      </w:r>
      <w:r w:rsidR="00CE07F8" w:rsidRPr="00CE07F8">
        <w:rPr>
          <w:rFonts w:asciiTheme="minorHAnsi" w:hAnsiTheme="minorHAnsi" w:cstheme="minorHAnsi"/>
          <w:color w:val="000000"/>
          <w:sz w:val="24"/>
          <w:szCs w:val="24"/>
          <w:shd w:val="clear" w:color="auto" w:fill="FFFFFF"/>
        </w:rPr>
        <w:t xml:space="preserve">PROUD is an open-label </w:t>
      </w:r>
      <w:proofErr w:type="spellStart"/>
      <w:r w:rsidR="00CE07F8" w:rsidRPr="00CE07F8">
        <w:rPr>
          <w:rFonts w:asciiTheme="minorHAnsi" w:hAnsiTheme="minorHAnsi" w:cstheme="minorHAnsi"/>
          <w:color w:val="000000"/>
          <w:sz w:val="24"/>
          <w:szCs w:val="24"/>
          <w:shd w:val="clear" w:color="auto" w:fill="FFFFFF"/>
        </w:rPr>
        <w:t>randomised</w:t>
      </w:r>
      <w:proofErr w:type="spellEnd"/>
      <w:r w:rsidR="00CE07F8" w:rsidRPr="00CE07F8">
        <w:rPr>
          <w:rFonts w:asciiTheme="minorHAnsi" w:hAnsiTheme="minorHAnsi" w:cstheme="minorHAnsi"/>
          <w:color w:val="000000"/>
          <w:sz w:val="24"/>
          <w:szCs w:val="24"/>
          <w:shd w:val="clear" w:color="auto" w:fill="FFFFFF"/>
        </w:rPr>
        <w:t xml:space="preserve"> trial done at 13 sexual health clinics in England. We enrolled HIV-negative gay and other men who have sex with men who had had anal intercourse without a condom in the previous 90 days. Participants were randomly </w:t>
      </w:r>
      <w:r w:rsidR="00CE07F8" w:rsidRPr="00CE07F8">
        <w:rPr>
          <w:rFonts w:asciiTheme="minorHAnsi" w:hAnsiTheme="minorHAnsi" w:cstheme="minorHAnsi"/>
          <w:color w:val="000000"/>
          <w:sz w:val="24"/>
          <w:szCs w:val="24"/>
          <w:shd w:val="clear" w:color="auto" w:fill="FFFFFF"/>
        </w:rPr>
        <w:lastRenderedPageBreak/>
        <w:t xml:space="preserve">assigned (1:1) to receive daily combined tenofovir disoproxil fumarate (245 mg) and emtricitabine (200 mg) either immediately or after a deferral period of 1 year. </w:t>
      </w:r>
      <w:proofErr w:type="spellStart"/>
      <w:r w:rsidR="00CE07F8" w:rsidRPr="00CE07F8">
        <w:rPr>
          <w:rFonts w:asciiTheme="minorHAnsi" w:hAnsiTheme="minorHAnsi" w:cstheme="minorHAnsi"/>
          <w:color w:val="000000"/>
          <w:sz w:val="24"/>
          <w:szCs w:val="24"/>
          <w:shd w:val="clear" w:color="auto" w:fill="FFFFFF"/>
        </w:rPr>
        <w:t>Randomisation</w:t>
      </w:r>
      <w:proofErr w:type="spellEnd"/>
      <w:r w:rsidR="00CE07F8" w:rsidRPr="00CE07F8">
        <w:rPr>
          <w:rFonts w:asciiTheme="minorHAnsi" w:hAnsiTheme="minorHAnsi" w:cstheme="minorHAnsi"/>
          <w:color w:val="000000"/>
          <w:sz w:val="24"/>
          <w:szCs w:val="24"/>
          <w:shd w:val="clear" w:color="auto" w:fill="FFFFFF"/>
        </w:rPr>
        <w:t xml:space="preserve"> was done via web-based access to a central computer-generated list with variable block sizes (stratified by clinical site). Follow-up was quarterly. The primary outcomes for the pilot phase were time to accrue 500 participants and retention; secondary outcomes included incident HIV infection during the deferral period, safety, adherence, and risk compensation.</w:t>
      </w:r>
    </w:p>
    <w:p w14:paraId="2978AAA9" w14:textId="2216AAAC" w:rsidR="001768ED" w:rsidRPr="00EB17C6" w:rsidRDefault="006D0BF4" w:rsidP="001768ED">
      <w:pPr>
        <w:ind w:left="820" w:right="257" w:hanging="360"/>
        <w:rPr>
          <w:rFonts w:asciiTheme="minorHAnsi" w:eastAsia="Calibri" w:hAnsiTheme="minorHAnsi" w:cs="Calibri"/>
          <w:sz w:val="24"/>
          <w:szCs w:val="24"/>
        </w:rPr>
      </w:pPr>
      <w:r>
        <w:rPr>
          <w:rFonts w:asciiTheme="minorHAnsi" w:eastAsia="Calibri" w:hAnsiTheme="minorHAnsi" w:cs="Calibri"/>
          <w:spacing w:val="1"/>
          <w:sz w:val="24"/>
          <w:szCs w:val="24"/>
        </w:rPr>
        <w:t>10</w:t>
      </w:r>
      <w:r w:rsidR="001768ED">
        <w:rPr>
          <w:rFonts w:asciiTheme="minorHAnsi" w:eastAsia="Calibri" w:hAnsiTheme="minorHAnsi" w:cs="Calibri"/>
          <w:sz w:val="24"/>
          <w:szCs w:val="24"/>
        </w:rPr>
        <w:t xml:space="preserve">. </w:t>
      </w:r>
      <w:proofErr w:type="spellStart"/>
      <w:r w:rsidR="00CE07F8">
        <w:rPr>
          <w:rFonts w:asciiTheme="minorHAnsi" w:eastAsia="Calibri" w:hAnsiTheme="minorHAnsi" w:cs="Calibri"/>
          <w:sz w:val="24"/>
          <w:szCs w:val="24"/>
        </w:rPr>
        <w:t>Jenn</w:t>
      </w:r>
      <w:r w:rsidR="00CE07F8" w:rsidRPr="004B68B0">
        <w:rPr>
          <w:rFonts w:asciiTheme="minorHAnsi" w:eastAsia="Calibri" w:hAnsiTheme="minorHAnsi" w:cstheme="minorHAnsi"/>
          <w:sz w:val="24"/>
          <w:szCs w:val="24"/>
        </w:rPr>
        <w:t>ess</w:t>
      </w:r>
      <w:proofErr w:type="spellEnd"/>
      <w:r w:rsidR="00CE07F8" w:rsidRPr="004B68B0">
        <w:rPr>
          <w:rFonts w:asciiTheme="minorHAnsi" w:eastAsia="Calibri" w:hAnsiTheme="minorHAnsi" w:cstheme="minorHAnsi"/>
          <w:sz w:val="24"/>
          <w:szCs w:val="24"/>
        </w:rPr>
        <w:t>, S.M.</w:t>
      </w:r>
      <w:r w:rsidR="001768ED" w:rsidRPr="004B68B0">
        <w:rPr>
          <w:rFonts w:asciiTheme="minorHAnsi" w:eastAsia="Calibri" w:hAnsiTheme="minorHAnsi" w:cstheme="minorHAnsi"/>
          <w:sz w:val="24"/>
          <w:szCs w:val="24"/>
        </w:rPr>
        <w:t>,</w:t>
      </w:r>
      <w:r w:rsidR="00CE07F8" w:rsidRPr="004B68B0">
        <w:rPr>
          <w:rFonts w:asciiTheme="minorHAnsi" w:eastAsia="Calibri" w:hAnsiTheme="minorHAnsi" w:cstheme="minorHAnsi"/>
          <w:sz w:val="24"/>
          <w:szCs w:val="24"/>
        </w:rPr>
        <w:t xml:space="preserve"> </w:t>
      </w:r>
      <w:proofErr w:type="spellStart"/>
      <w:r w:rsidR="00CE07F8" w:rsidRPr="004B68B0">
        <w:rPr>
          <w:rFonts w:asciiTheme="minorHAnsi" w:eastAsia="Calibri" w:hAnsiTheme="minorHAnsi" w:cstheme="minorHAnsi"/>
          <w:sz w:val="24"/>
          <w:szCs w:val="24"/>
        </w:rPr>
        <w:t>Goodreau</w:t>
      </w:r>
      <w:proofErr w:type="spellEnd"/>
      <w:r w:rsidR="00CE07F8" w:rsidRPr="004B68B0">
        <w:rPr>
          <w:rFonts w:asciiTheme="minorHAnsi" w:eastAsia="Calibri" w:hAnsiTheme="minorHAnsi" w:cstheme="minorHAnsi"/>
          <w:sz w:val="24"/>
          <w:szCs w:val="24"/>
        </w:rPr>
        <w:t>,</w:t>
      </w:r>
      <w:r w:rsidR="001768ED" w:rsidRPr="004B68B0">
        <w:rPr>
          <w:rFonts w:asciiTheme="minorHAnsi" w:eastAsia="Calibri" w:hAnsiTheme="minorHAnsi" w:cstheme="minorHAnsi"/>
          <w:sz w:val="24"/>
          <w:szCs w:val="24"/>
        </w:rPr>
        <w:t xml:space="preserve"> </w:t>
      </w:r>
      <w:r w:rsidR="00CE07F8" w:rsidRPr="004B68B0">
        <w:rPr>
          <w:rFonts w:asciiTheme="minorHAnsi" w:eastAsia="Calibri" w:hAnsiTheme="minorHAnsi" w:cstheme="minorHAnsi"/>
          <w:sz w:val="24"/>
          <w:szCs w:val="24"/>
        </w:rPr>
        <w:t>S.</w:t>
      </w:r>
      <w:r w:rsidR="001768ED" w:rsidRPr="004B68B0">
        <w:rPr>
          <w:rFonts w:asciiTheme="minorHAnsi" w:eastAsia="Calibri" w:hAnsiTheme="minorHAnsi" w:cstheme="minorHAnsi"/>
          <w:sz w:val="24"/>
          <w:szCs w:val="24"/>
        </w:rPr>
        <w:t>M</w:t>
      </w:r>
      <w:r w:rsidR="00CE07F8" w:rsidRPr="004B68B0">
        <w:rPr>
          <w:rFonts w:asciiTheme="minorHAnsi" w:eastAsia="Calibri" w:hAnsiTheme="minorHAnsi" w:cstheme="minorHAnsi"/>
          <w:sz w:val="24"/>
          <w:szCs w:val="24"/>
        </w:rPr>
        <w:t>.</w:t>
      </w:r>
      <w:r w:rsidR="001768ED" w:rsidRPr="004B68B0">
        <w:rPr>
          <w:rFonts w:asciiTheme="minorHAnsi" w:eastAsia="Calibri" w:hAnsiTheme="minorHAnsi" w:cstheme="minorHAnsi"/>
          <w:sz w:val="24"/>
          <w:szCs w:val="24"/>
        </w:rPr>
        <w:t>,</w:t>
      </w:r>
      <w:r w:rsidR="00CE07F8" w:rsidRPr="004B68B0">
        <w:rPr>
          <w:rFonts w:asciiTheme="minorHAnsi" w:eastAsia="Calibri" w:hAnsiTheme="minorHAnsi" w:cstheme="minorHAnsi"/>
          <w:sz w:val="24"/>
          <w:szCs w:val="24"/>
        </w:rPr>
        <w:t xml:space="preserve"> Rosenberg, E., </w:t>
      </w:r>
      <w:proofErr w:type="spellStart"/>
      <w:r w:rsidR="00CE07F8" w:rsidRPr="004B68B0">
        <w:rPr>
          <w:rFonts w:asciiTheme="minorHAnsi" w:eastAsia="Calibri" w:hAnsiTheme="minorHAnsi" w:cstheme="minorHAnsi"/>
          <w:sz w:val="24"/>
          <w:szCs w:val="24"/>
        </w:rPr>
        <w:t>Beylerian</w:t>
      </w:r>
      <w:proofErr w:type="spellEnd"/>
      <w:r w:rsidR="00CE07F8" w:rsidRPr="004B68B0">
        <w:rPr>
          <w:rFonts w:asciiTheme="minorHAnsi" w:eastAsia="Calibri" w:hAnsiTheme="minorHAnsi" w:cstheme="minorHAnsi"/>
          <w:sz w:val="24"/>
          <w:szCs w:val="24"/>
        </w:rPr>
        <w:t>, E.N., et al.</w:t>
      </w:r>
      <w:r w:rsidR="001768ED" w:rsidRPr="004B68B0">
        <w:rPr>
          <w:rFonts w:asciiTheme="minorHAnsi" w:eastAsia="Calibri" w:hAnsiTheme="minorHAnsi" w:cstheme="minorHAnsi"/>
          <w:sz w:val="24"/>
          <w:szCs w:val="24"/>
        </w:rPr>
        <w:t xml:space="preserve"> (201</w:t>
      </w:r>
      <w:r w:rsidR="00CE07F8" w:rsidRPr="004B68B0">
        <w:rPr>
          <w:rFonts w:asciiTheme="minorHAnsi" w:eastAsia="Calibri" w:hAnsiTheme="minorHAnsi" w:cstheme="minorHAnsi"/>
          <w:sz w:val="24"/>
          <w:szCs w:val="24"/>
        </w:rPr>
        <w:t>6</w:t>
      </w:r>
      <w:r w:rsidR="001768ED" w:rsidRPr="004B68B0">
        <w:rPr>
          <w:rFonts w:asciiTheme="minorHAnsi" w:eastAsia="Calibri" w:hAnsiTheme="minorHAnsi" w:cstheme="minorHAnsi"/>
          <w:sz w:val="24"/>
          <w:szCs w:val="24"/>
        </w:rPr>
        <w:t xml:space="preserve">). </w:t>
      </w:r>
      <w:r w:rsidR="00CE07F8" w:rsidRPr="004B68B0">
        <w:rPr>
          <w:rFonts w:asciiTheme="minorHAnsi" w:eastAsia="Calibri" w:hAnsiTheme="minorHAnsi" w:cstheme="minorHAnsi"/>
          <w:sz w:val="24"/>
          <w:szCs w:val="24"/>
        </w:rPr>
        <w:t xml:space="preserve">Impact of the Centers for Disease Control’s HIV Preexposure Prophylaxis Guidelines for Men Who Have Sex </w:t>
      </w:r>
      <w:proofErr w:type="gramStart"/>
      <w:r w:rsidR="00CE07F8" w:rsidRPr="004B68B0">
        <w:rPr>
          <w:rFonts w:asciiTheme="minorHAnsi" w:eastAsia="Calibri" w:hAnsiTheme="minorHAnsi" w:cstheme="minorHAnsi"/>
          <w:sz w:val="24"/>
          <w:szCs w:val="24"/>
        </w:rPr>
        <w:t>With</w:t>
      </w:r>
      <w:proofErr w:type="gramEnd"/>
      <w:r w:rsidR="00CE07F8" w:rsidRPr="004B68B0">
        <w:rPr>
          <w:rFonts w:asciiTheme="minorHAnsi" w:eastAsia="Calibri" w:hAnsiTheme="minorHAnsi" w:cstheme="minorHAnsi"/>
          <w:sz w:val="24"/>
          <w:szCs w:val="24"/>
        </w:rPr>
        <w:t xml:space="preserve"> Men in the United States</w:t>
      </w:r>
      <w:r w:rsidR="001768ED" w:rsidRPr="004B68B0">
        <w:rPr>
          <w:rFonts w:asciiTheme="minorHAnsi" w:eastAsia="Calibri" w:hAnsiTheme="minorHAnsi" w:cstheme="minorHAnsi"/>
          <w:sz w:val="24"/>
          <w:szCs w:val="24"/>
        </w:rPr>
        <w:t xml:space="preserve">. </w:t>
      </w:r>
      <w:r w:rsidR="00CE07F8" w:rsidRPr="004B68B0">
        <w:rPr>
          <w:rFonts w:asciiTheme="minorHAnsi" w:eastAsia="Calibri" w:hAnsiTheme="minorHAnsi" w:cstheme="minorHAnsi"/>
          <w:i/>
          <w:sz w:val="24"/>
          <w:szCs w:val="24"/>
        </w:rPr>
        <w:t>The Journal of Infectious Diseases</w:t>
      </w:r>
      <w:r w:rsidR="001768ED" w:rsidRPr="004B68B0">
        <w:rPr>
          <w:rFonts w:asciiTheme="minorHAnsi" w:eastAsia="Calibri" w:hAnsiTheme="minorHAnsi" w:cstheme="minorHAnsi"/>
          <w:sz w:val="24"/>
          <w:szCs w:val="24"/>
        </w:rPr>
        <w:t xml:space="preserve">. </w:t>
      </w:r>
      <w:r w:rsidR="00CE07F8" w:rsidRPr="004B68B0">
        <w:rPr>
          <w:rFonts w:asciiTheme="minorHAnsi" w:eastAsia="Calibri" w:hAnsiTheme="minorHAnsi" w:cstheme="minorHAnsi"/>
          <w:i/>
          <w:sz w:val="24"/>
          <w:szCs w:val="24"/>
        </w:rPr>
        <w:t>214</w:t>
      </w:r>
      <w:r w:rsidR="001768ED" w:rsidRPr="004B68B0">
        <w:rPr>
          <w:rFonts w:asciiTheme="minorHAnsi" w:eastAsia="Calibri" w:hAnsiTheme="minorHAnsi" w:cstheme="minorHAnsi"/>
          <w:sz w:val="24"/>
          <w:szCs w:val="24"/>
        </w:rPr>
        <w:t>(</w:t>
      </w:r>
      <w:r w:rsidR="00CE07F8" w:rsidRPr="004B68B0">
        <w:rPr>
          <w:rFonts w:asciiTheme="minorHAnsi" w:eastAsia="Calibri" w:hAnsiTheme="minorHAnsi" w:cstheme="minorHAnsi"/>
          <w:sz w:val="24"/>
          <w:szCs w:val="24"/>
        </w:rPr>
        <w:t>12), 1800-</w:t>
      </w:r>
      <w:r w:rsidR="000312B3">
        <w:rPr>
          <w:rFonts w:asciiTheme="minorHAnsi" w:eastAsia="Calibri" w:hAnsiTheme="minorHAnsi" w:cstheme="minorHAnsi"/>
          <w:sz w:val="24"/>
          <w:szCs w:val="24"/>
        </w:rPr>
        <w:t>18</w:t>
      </w:r>
      <w:r w:rsidR="00CE07F8" w:rsidRPr="004B68B0">
        <w:rPr>
          <w:rFonts w:asciiTheme="minorHAnsi" w:eastAsia="Calibri" w:hAnsiTheme="minorHAnsi" w:cstheme="minorHAnsi"/>
          <w:sz w:val="24"/>
          <w:szCs w:val="24"/>
        </w:rPr>
        <w:t>07</w:t>
      </w:r>
      <w:r w:rsidR="001768ED" w:rsidRPr="004B68B0">
        <w:rPr>
          <w:rFonts w:asciiTheme="minorHAnsi" w:eastAsia="Calibri" w:hAnsiTheme="minorHAnsi" w:cstheme="minorHAnsi"/>
          <w:sz w:val="24"/>
          <w:szCs w:val="24"/>
        </w:rPr>
        <w:t xml:space="preserve">. DOI: </w:t>
      </w:r>
      <w:hyperlink r:id="rId8" w:tgtFrame="pmc_ext" w:history="1">
        <w:r w:rsidR="004B68B0" w:rsidRPr="004B68B0">
          <w:rPr>
            <w:rStyle w:val="Hyperlink"/>
            <w:rFonts w:asciiTheme="minorHAnsi" w:eastAsiaTheme="majorEastAsia" w:hAnsiTheme="minorHAnsi" w:cstheme="minorHAnsi"/>
            <w:color w:val="642A8F"/>
            <w:sz w:val="24"/>
            <w:szCs w:val="24"/>
            <w:shd w:val="clear" w:color="auto" w:fill="FFFFFF"/>
          </w:rPr>
          <w:t>10.1093/</w:t>
        </w:r>
        <w:proofErr w:type="spellStart"/>
        <w:r w:rsidR="004B68B0" w:rsidRPr="004B68B0">
          <w:rPr>
            <w:rStyle w:val="Hyperlink"/>
            <w:rFonts w:asciiTheme="minorHAnsi" w:eastAsiaTheme="majorEastAsia" w:hAnsiTheme="minorHAnsi" w:cstheme="minorHAnsi"/>
            <w:color w:val="642A8F"/>
            <w:sz w:val="24"/>
            <w:szCs w:val="24"/>
            <w:shd w:val="clear" w:color="auto" w:fill="FFFFFF"/>
          </w:rPr>
          <w:t>infdis</w:t>
        </w:r>
        <w:proofErr w:type="spellEnd"/>
        <w:r w:rsidR="004B68B0" w:rsidRPr="004B68B0">
          <w:rPr>
            <w:rStyle w:val="Hyperlink"/>
            <w:rFonts w:asciiTheme="minorHAnsi" w:eastAsiaTheme="majorEastAsia" w:hAnsiTheme="minorHAnsi" w:cstheme="minorHAnsi"/>
            <w:color w:val="642A8F"/>
            <w:sz w:val="24"/>
            <w:szCs w:val="24"/>
            <w:shd w:val="clear" w:color="auto" w:fill="FFFFFF"/>
          </w:rPr>
          <w:t>/jiw223</w:t>
        </w:r>
      </w:hyperlink>
    </w:p>
    <w:p w14:paraId="7DD6CCA4" w14:textId="4FB70E51" w:rsidR="004B68B0" w:rsidRPr="00A24C22" w:rsidRDefault="001768ED" w:rsidP="001768ED">
      <w:pPr>
        <w:tabs>
          <w:tab w:val="left" w:pos="1540"/>
        </w:tabs>
        <w:spacing w:before="3" w:line="280" w:lineRule="exact"/>
        <w:ind w:left="1540" w:right="112" w:hanging="360"/>
        <w:jc w:val="both"/>
        <w:rPr>
          <w:rFonts w:asciiTheme="minorHAnsi" w:hAnsiTheme="minorHAnsi" w:cstheme="minorHAnsi"/>
          <w:color w:val="000000"/>
          <w:sz w:val="24"/>
          <w:szCs w:val="24"/>
          <w:shd w:val="clear" w:color="auto" w:fill="FFFFFF"/>
        </w:rPr>
      </w:pPr>
      <w:r w:rsidRPr="00EB17C6">
        <w:rPr>
          <w:rFonts w:asciiTheme="minorHAnsi" w:hAnsiTheme="minorHAnsi"/>
          <w:sz w:val="24"/>
          <w:szCs w:val="24"/>
        </w:rPr>
        <w:tab/>
      </w:r>
      <w:r w:rsidR="004B68B0" w:rsidRPr="004B68B0">
        <w:rPr>
          <w:rFonts w:asciiTheme="minorHAnsi" w:hAnsiTheme="minorHAnsi" w:cstheme="minorHAnsi"/>
          <w:color w:val="000000"/>
          <w:sz w:val="24"/>
          <w:szCs w:val="24"/>
          <w:shd w:val="clear" w:color="auto" w:fill="FFFFFF"/>
        </w:rPr>
        <w:t>Preexposure prophylaxis (</w:t>
      </w:r>
      <w:proofErr w:type="spellStart"/>
      <w:r w:rsidR="004B68B0" w:rsidRPr="004B68B0">
        <w:rPr>
          <w:rFonts w:asciiTheme="minorHAnsi" w:hAnsiTheme="minorHAnsi" w:cstheme="minorHAnsi"/>
          <w:color w:val="000000"/>
          <w:sz w:val="24"/>
          <w:szCs w:val="24"/>
          <w:shd w:val="clear" w:color="auto" w:fill="FFFFFF"/>
        </w:rPr>
        <w:t>PrEP</w:t>
      </w:r>
      <w:proofErr w:type="spellEnd"/>
      <w:r w:rsidR="004B68B0" w:rsidRPr="004B68B0">
        <w:rPr>
          <w:rFonts w:asciiTheme="minorHAnsi" w:hAnsiTheme="minorHAnsi" w:cstheme="minorHAnsi"/>
          <w:color w:val="000000"/>
          <w:sz w:val="24"/>
          <w:szCs w:val="24"/>
          <w:shd w:val="clear" w:color="auto" w:fill="FFFFFF"/>
        </w:rPr>
        <w:t xml:space="preserve">) is effective for preventing human immunodeficiency virus (HIV) infection among men who have sex with men (MSM) within trial settings. Population impact will depend on clinical indications for </w:t>
      </w:r>
      <w:proofErr w:type="spellStart"/>
      <w:r w:rsidR="004B68B0" w:rsidRPr="004B68B0">
        <w:rPr>
          <w:rFonts w:asciiTheme="minorHAnsi" w:hAnsiTheme="minorHAnsi" w:cstheme="minorHAnsi"/>
          <w:color w:val="000000"/>
          <w:sz w:val="24"/>
          <w:szCs w:val="24"/>
          <w:shd w:val="clear" w:color="auto" w:fill="FFFFFF"/>
        </w:rPr>
        <w:t>PrEP</w:t>
      </w:r>
      <w:proofErr w:type="spellEnd"/>
      <w:r w:rsidR="004B68B0" w:rsidRPr="004B68B0">
        <w:rPr>
          <w:rFonts w:asciiTheme="minorHAnsi" w:hAnsiTheme="minorHAnsi" w:cstheme="minorHAnsi"/>
          <w:color w:val="000000"/>
          <w:sz w:val="24"/>
          <w:szCs w:val="24"/>
          <w:shd w:val="clear" w:color="auto" w:fill="FFFFFF"/>
        </w:rPr>
        <w:t xml:space="preserve"> initiation, coverage levels, and drug adherence. No modeling studies have estimated the impact of clinical practice guidelines for </w:t>
      </w:r>
      <w:proofErr w:type="spellStart"/>
      <w:r w:rsidR="004B68B0" w:rsidRPr="004B68B0">
        <w:rPr>
          <w:rFonts w:asciiTheme="minorHAnsi" w:hAnsiTheme="minorHAnsi" w:cstheme="minorHAnsi"/>
          <w:color w:val="000000"/>
          <w:sz w:val="24"/>
          <w:szCs w:val="24"/>
          <w:shd w:val="clear" w:color="auto" w:fill="FFFFFF"/>
        </w:rPr>
        <w:t>PrEP</w:t>
      </w:r>
      <w:proofErr w:type="spellEnd"/>
      <w:r w:rsidR="004B68B0" w:rsidRPr="004B68B0">
        <w:rPr>
          <w:rFonts w:asciiTheme="minorHAnsi" w:hAnsiTheme="minorHAnsi" w:cstheme="minorHAnsi"/>
          <w:color w:val="000000"/>
          <w:sz w:val="24"/>
          <w:szCs w:val="24"/>
          <w:shd w:val="clear" w:color="auto" w:fill="FFFFFF"/>
        </w:rPr>
        <w:t xml:space="preserve"> issued by the Centers for Disease Control and Prevention (CDC).</w:t>
      </w:r>
      <w:r w:rsidR="004B68B0">
        <w:rPr>
          <w:rFonts w:asciiTheme="minorHAnsi" w:hAnsiTheme="minorHAnsi" w:cstheme="minorHAnsi"/>
          <w:color w:val="000000"/>
          <w:sz w:val="24"/>
          <w:szCs w:val="24"/>
          <w:shd w:val="clear" w:color="auto" w:fill="FFFFFF"/>
        </w:rPr>
        <w:t xml:space="preserve"> </w:t>
      </w:r>
      <w:r w:rsidR="004B68B0" w:rsidRPr="004B68B0">
        <w:rPr>
          <w:rFonts w:asciiTheme="minorHAnsi" w:hAnsiTheme="minorHAnsi" w:cstheme="minorHAnsi"/>
          <w:color w:val="000000"/>
          <w:sz w:val="24"/>
          <w:szCs w:val="24"/>
          <w:shd w:val="clear" w:color="auto" w:fill="FFFFFF"/>
        </w:rPr>
        <w:t xml:space="preserve">Mathematical models of HIV transmission among MSM were used to estimate the percentage of infections averted (PIA) and the number needed to treat (NNT) under behavioral indications of the CDC's </w:t>
      </w:r>
      <w:proofErr w:type="spellStart"/>
      <w:r w:rsidR="004B68B0" w:rsidRPr="004B68B0">
        <w:rPr>
          <w:rFonts w:asciiTheme="minorHAnsi" w:hAnsiTheme="minorHAnsi" w:cstheme="minorHAnsi"/>
          <w:color w:val="000000"/>
          <w:sz w:val="24"/>
          <w:szCs w:val="24"/>
          <w:shd w:val="clear" w:color="auto" w:fill="FFFFFF"/>
        </w:rPr>
        <w:t>PrEP</w:t>
      </w:r>
      <w:proofErr w:type="spellEnd"/>
      <w:r w:rsidR="004B68B0" w:rsidRPr="004B68B0">
        <w:rPr>
          <w:rFonts w:asciiTheme="minorHAnsi" w:hAnsiTheme="minorHAnsi" w:cstheme="minorHAnsi"/>
          <w:color w:val="000000"/>
          <w:sz w:val="24"/>
          <w:szCs w:val="24"/>
          <w:shd w:val="clear" w:color="auto" w:fill="FFFFFF"/>
        </w:rPr>
        <w:t xml:space="preserve"> guidelines. We modeled the contribution of these indications while varying treatment coverage and adherenc</w:t>
      </w:r>
      <w:r w:rsidR="004B68B0">
        <w:rPr>
          <w:rFonts w:asciiTheme="minorHAnsi" w:hAnsiTheme="minorHAnsi" w:cstheme="minorHAnsi"/>
          <w:color w:val="000000"/>
          <w:sz w:val="24"/>
          <w:szCs w:val="24"/>
          <w:shd w:val="clear" w:color="auto" w:fill="FFFFFF"/>
        </w:rPr>
        <w:t>e.</w:t>
      </w:r>
    </w:p>
    <w:p w14:paraId="199D539D" w14:textId="4ED6C738" w:rsidR="001768ED" w:rsidRPr="008728C0" w:rsidRDefault="006D0BF4" w:rsidP="001768ED">
      <w:pPr>
        <w:ind w:left="820" w:right="257" w:hanging="360"/>
        <w:rPr>
          <w:rFonts w:asciiTheme="minorHAnsi" w:eastAsia="Calibri" w:hAnsiTheme="minorHAnsi" w:cs="Calibri"/>
          <w:sz w:val="24"/>
          <w:szCs w:val="24"/>
        </w:rPr>
      </w:pPr>
      <w:r w:rsidRPr="00FF7923">
        <w:rPr>
          <w:rFonts w:asciiTheme="minorHAnsi" w:eastAsia="Calibri" w:hAnsiTheme="minorHAnsi" w:cs="Calibri"/>
          <w:spacing w:val="1"/>
          <w:sz w:val="24"/>
          <w:szCs w:val="24"/>
        </w:rPr>
        <w:t>11</w:t>
      </w:r>
      <w:r w:rsidR="001768ED" w:rsidRPr="00FF7923">
        <w:rPr>
          <w:rFonts w:asciiTheme="minorHAnsi" w:eastAsia="Calibri" w:hAnsiTheme="minorHAnsi" w:cs="Calibri"/>
          <w:sz w:val="24"/>
          <w:szCs w:val="24"/>
        </w:rPr>
        <w:t xml:space="preserve">. </w:t>
      </w:r>
      <w:proofErr w:type="spellStart"/>
      <w:r w:rsidR="008728C0" w:rsidRPr="00FF7923">
        <w:rPr>
          <w:rFonts w:asciiTheme="minorHAnsi" w:eastAsia="Calibri" w:hAnsiTheme="minorHAnsi" w:cs="Calibri"/>
          <w:sz w:val="24"/>
          <w:szCs w:val="24"/>
        </w:rPr>
        <w:t>Mera</w:t>
      </w:r>
      <w:proofErr w:type="spellEnd"/>
      <w:r w:rsidR="001768ED" w:rsidRPr="00FF7923">
        <w:rPr>
          <w:rFonts w:asciiTheme="minorHAnsi" w:eastAsia="Calibri" w:hAnsiTheme="minorHAnsi" w:cs="Calibri"/>
          <w:sz w:val="24"/>
          <w:szCs w:val="24"/>
        </w:rPr>
        <w:t>,</w:t>
      </w:r>
      <w:r w:rsidR="008728C0" w:rsidRPr="00FF7923">
        <w:rPr>
          <w:rFonts w:asciiTheme="minorHAnsi" w:eastAsia="Calibri" w:hAnsiTheme="minorHAnsi" w:cs="Calibri"/>
          <w:sz w:val="24"/>
          <w:szCs w:val="24"/>
        </w:rPr>
        <w:t xml:space="preserve"> R., McCallister, S., Palmer</w:t>
      </w:r>
      <w:r w:rsidR="00FF7923" w:rsidRPr="00FF7923">
        <w:rPr>
          <w:rFonts w:asciiTheme="minorHAnsi" w:eastAsia="Calibri" w:hAnsiTheme="minorHAnsi" w:cs="Calibri"/>
          <w:sz w:val="24"/>
          <w:szCs w:val="24"/>
        </w:rPr>
        <w:t>, B., Mayer, G., Magnuson, D.</w:t>
      </w:r>
      <w:r w:rsidR="00FF7923">
        <w:rPr>
          <w:rFonts w:asciiTheme="minorHAnsi" w:eastAsia="Calibri" w:hAnsiTheme="minorHAnsi" w:cs="Calibri"/>
          <w:sz w:val="24"/>
          <w:szCs w:val="24"/>
        </w:rPr>
        <w:t>,</w:t>
      </w:r>
      <w:r w:rsidR="00FF7923" w:rsidRPr="00FF7923">
        <w:rPr>
          <w:rFonts w:asciiTheme="minorHAnsi" w:eastAsia="Calibri" w:hAnsiTheme="minorHAnsi" w:cs="Calibri"/>
          <w:sz w:val="24"/>
          <w:szCs w:val="24"/>
        </w:rPr>
        <w:t xml:space="preserve"> &amp; Rawlin</w:t>
      </w:r>
      <w:r w:rsidR="00FF7923">
        <w:rPr>
          <w:rFonts w:asciiTheme="minorHAnsi" w:eastAsia="Calibri" w:hAnsiTheme="minorHAnsi" w:cs="Calibri"/>
          <w:sz w:val="24"/>
          <w:szCs w:val="24"/>
        </w:rPr>
        <w:t>gs, K.</w:t>
      </w:r>
      <w:r w:rsidR="001768ED" w:rsidRPr="00FF7923">
        <w:rPr>
          <w:rFonts w:asciiTheme="minorHAnsi" w:eastAsia="Calibri" w:hAnsiTheme="minorHAnsi" w:cs="Calibri"/>
          <w:sz w:val="24"/>
          <w:szCs w:val="24"/>
        </w:rPr>
        <w:t xml:space="preserve"> </w:t>
      </w:r>
      <w:r w:rsidR="001768ED" w:rsidRPr="008728C0">
        <w:rPr>
          <w:rFonts w:asciiTheme="minorHAnsi" w:eastAsia="Calibri" w:hAnsiTheme="minorHAnsi" w:cs="Calibri"/>
          <w:sz w:val="24"/>
          <w:szCs w:val="24"/>
        </w:rPr>
        <w:t>(</w:t>
      </w:r>
      <w:r w:rsidR="00FF7923">
        <w:rPr>
          <w:rFonts w:asciiTheme="minorHAnsi" w:eastAsia="Calibri" w:hAnsiTheme="minorHAnsi" w:cs="Calibri"/>
          <w:sz w:val="24"/>
          <w:szCs w:val="24"/>
        </w:rPr>
        <w:t>2016</w:t>
      </w:r>
      <w:r w:rsidR="001768ED" w:rsidRPr="008728C0">
        <w:rPr>
          <w:rFonts w:asciiTheme="minorHAnsi" w:eastAsia="Calibri" w:hAnsiTheme="minorHAnsi" w:cs="Calibri"/>
          <w:sz w:val="24"/>
          <w:szCs w:val="24"/>
        </w:rPr>
        <w:t xml:space="preserve">). </w:t>
      </w:r>
      <w:r w:rsidR="00FF7923">
        <w:rPr>
          <w:rFonts w:asciiTheme="minorHAnsi" w:eastAsia="Calibri" w:hAnsiTheme="minorHAnsi" w:cs="Calibri"/>
          <w:sz w:val="24"/>
          <w:szCs w:val="24"/>
        </w:rPr>
        <w:t>Truvada (TVD) for HIV Pre-exposure Prophylaxis (</w:t>
      </w:r>
      <w:proofErr w:type="spellStart"/>
      <w:r w:rsidR="00FF7923">
        <w:rPr>
          <w:rFonts w:asciiTheme="minorHAnsi" w:eastAsia="Calibri" w:hAnsiTheme="minorHAnsi" w:cs="Calibri"/>
          <w:sz w:val="24"/>
          <w:szCs w:val="24"/>
        </w:rPr>
        <w:t>PrEP</w:t>
      </w:r>
      <w:proofErr w:type="spellEnd"/>
      <w:r w:rsidR="00FF7923">
        <w:rPr>
          <w:rFonts w:asciiTheme="minorHAnsi" w:eastAsia="Calibri" w:hAnsiTheme="minorHAnsi" w:cs="Calibri"/>
          <w:sz w:val="24"/>
          <w:szCs w:val="24"/>
        </w:rPr>
        <w:t xml:space="preserve">) Utilization in the United States (2013-2015). </w:t>
      </w:r>
      <w:r w:rsidR="00FF7923">
        <w:rPr>
          <w:rFonts w:asciiTheme="minorHAnsi" w:eastAsia="Calibri" w:hAnsiTheme="minorHAnsi" w:cs="Calibri"/>
          <w:i/>
          <w:sz w:val="24"/>
          <w:szCs w:val="24"/>
        </w:rPr>
        <w:t xml:space="preserve">Journal of Acquired Immune Deficiency </w:t>
      </w:r>
      <w:r w:rsidR="00FF7923" w:rsidRPr="00FF7923">
        <w:rPr>
          <w:rFonts w:asciiTheme="minorHAnsi" w:eastAsia="Calibri" w:hAnsiTheme="minorHAnsi" w:cs="Calibri"/>
          <w:sz w:val="24"/>
          <w:szCs w:val="24"/>
        </w:rPr>
        <w:t>Syndromes</w:t>
      </w:r>
      <w:r w:rsidR="00FF7923">
        <w:rPr>
          <w:rFonts w:asciiTheme="minorHAnsi" w:eastAsia="Calibri" w:hAnsiTheme="minorHAnsi" w:cs="Calibri"/>
          <w:sz w:val="24"/>
          <w:szCs w:val="24"/>
        </w:rPr>
        <w:t xml:space="preserve">. </w:t>
      </w:r>
      <w:r w:rsidR="00FF7923">
        <w:rPr>
          <w:rFonts w:asciiTheme="minorHAnsi" w:eastAsia="Calibri" w:hAnsiTheme="minorHAnsi" w:cstheme="minorHAnsi"/>
          <w:i/>
          <w:sz w:val="24"/>
          <w:szCs w:val="24"/>
        </w:rPr>
        <w:t>19</w:t>
      </w:r>
      <w:r w:rsidR="001768ED" w:rsidRPr="008728C0">
        <w:rPr>
          <w:rFonts w:asciiTheme="minorHAnsi" w:eastAsia="Calibri" w:hAnsiTheme="minorHAnsi" w:cstheme="minorHAnsi"/>
          <w:sz w:val="24"/>
          <w:szCs w:val="24"/>
        </w:rPr>
        <w:t>(</w:t>
      </w:r>
      <w:r w:rsidR="00FF7923">
        <w:rPr>
          <w:rFonts w:asciiTheme="minorHAnsi" w:eastAsia="Calibri" w:hAnsiTheme="minorHAnsi" w:cstheme="minorHAnsi"/>
          <w:sz w:val="24"/>
          <w:szCs w:val="24"/>
        </w:rPr>
        <w:t>Suppl 5</w:t>
      </w:r>
      <w:r w:rsidR="001768ED" w:rsidRPr="008728C0">
        <w:rPr>
          <w:rFonts w:asciiTheme="minorHAnsi" w:eastAsia="Calibri" w:hAnsiTheme="minorHAnsi" w:cstheme="minorHAnsi"/>
          <w:sz w:val="24"/>
          <w:szCs w:val="24"/>
        </w:rPr>
        <w:t>):</w:t>
      </w:r>
      <w:r w:rsidR="00FF7923">
        <w:rPr>
          <w:rFonts w:asciiTheme="minorHAnsi" w:eastAsia="Calibri" w:hAnsiTheme="minorHAnsi" w:cstheme="minorHAnsi"/>
          <w:sz w:val="24"/>
          <w:szCs w:val="24"/>
        </w:rPr>
        <w:t>30</w:t>
      </w:r>
    </w:p>
    <w:p w14:paraId="775D2E98" w14:textId="63C682DA" w:rsidR="00FF7923" w:rsidRDefault="001768ED" w:rsidP="001768ED">
      <w:pPr>
        <w:tabs>
          <w:tab w:val="left" w:pos="1540"/>
        </w:tabs>
        <w:spacing w:before="3" w:line="280" w:lineRule="exact"/>
        <w:ind w:left="1540" w:right="112" w:hanging="360"/>
        <w:jc w:val="both"/>
        <w:rPr>
          <w:rFonts w:asciiTheme="minorHAnsi" w:hAnsiTheme="minorHAnsi" w:cstheme="minorHAnsi"/>
          <w:color w:val="000000"/>
          <w:sz w:val="24"/>
          <w:szCs w:val="24"/>
          <w:shd w:val="clear" w:color="auto" w:fill="FFFFFF"/>
        </w:rPr>
      </w:pPr>
      <w:r w:rsidRPr="008728C0">
        <w:rPr>
          <w:rFonts w:asciiTheme="minorHAnsi" w:hAnsiTheme="minorHAnsi"/>
          <w:sz w:val="24"/>
          <w:szCs w:val="24"/>
        </w:rPr>
        <w:tab/>
      </w:r>
      <w:r w:rsidR="00FF7923" w:rsidRPr="00FF7923">
        <w:rPr>
          <w:rFonts w:asciiTheme="minorHAnsi" w:hAnsiTheme="minorHAnsi" w:cstheme="minorHAnsi"/>
          <w:color w:val="000000"/>
          <w:sz w:val="24"/>
          <w:szCs w:val="24"/>
          <w:shd w:val="clear" w:color="auto" w:fill="FFFFFF"/>
        </w:rPr>
        <w:t>In 2012 Truvada (TVD) was licensed for pre-exposure prophylaxis (</w:t>
      </w:r>
      <w:proofErr w:type="spellStart"/>
      <w:r w:rsidR="00FF7923" w:rsidRPr="00FF7923">
        <w:rPr>
          <w:rFonts w:asciiTheme="minorHAnsi" w:hAnsiTheme="minorHAnsi" w:cstheme="minorHAnsi"/>
          <w:color w:val="000000"/>
          <w:sz w:val="24"/>
          <w:szCs w:val="24"/>
          <w:shd w:val="clear" w:color="auto" w:fill="FFFFFF"/>
        </w:rPr>
        <w:t>PrEP</w:t>
      </w:r>
      <w:proofErr w:type="spellEnd"/>
      <w:r w:rsidR="00FF7923" w:rsidRPr="00FF7923">
        <w:rPr>
          <w:rFonts w:asciiTheme="minorHAnsi" w:hAnsiTheme="minorHAnsi" w:cstheme="minorHAnsi"/>
          <w:color w:val="000000"/>
          <w:sz w:val="24"/>
          <w:szCs w:val="24"/>
          <w:shd w:val="clear" w:color="auto" w:fill="FFFFFF"/>
        </w:rPr>
        <w:t xml:space="preserve">) to reduce the risk of sexually acquired HIV-1 for </w:t>
      </w:r>
      <w:r w:rsidR="00FF7923">
        <w:rPr>
          <w:rFonts w:asciiTheme="minorHAnsi" w:hAnsiTheme="minorHAnsi" w:cstheme="minorHAnsi"/>
          <w:color w:val="000000"/>
          <w:sz w:val="24"/>
          <w:szCs w:val="24"/>
          <w:shd w:val="clear" w:color="auto" w:fill="FFFFFF"/>
        </w:rPr>
        <w:t>adults at high risk in the USA. Study investigators</w:t>
      </w:r>
      <w:r w:rsidR="00FF7923" w:rsidRPr="00FF7923">
        <w:rPr>
          <w:rFonts w:asciiTheme="minorHAnsi" w:hAnsiTheme="minorHAnsi" w:cstheme="minorHAnsi"/>
          <w:color w:val="000000"/>
          <w:sz w:val="24"/>
          <w:szCs w:val="24"/>
          <w:shd w:val="clear" w:color="auto" w:fill="FFFFFF"/>
        </w:rPr>
        <w:t xml:space="preserve"> describe the TVD for </w:t>
      </w:r>
      <w:proofErr w:type="spellStart"/>
      <w:r w:rsidR="00FF7923" w:rsidRPr="00FF7923">
        <w:rPr>
          <w:rFonts w:asciiTheme="minorHAnsi" w:hAnsiTheme="minorHAnsi" w:cstheme="minorHAnsi"/>
          <w:color w:val="000000"/>
          <w:sz w:val="24"/>
          <w:szCs w:val="24"/>
          <w:shd w:val="clear" w:color="auto" w:fill="FFFFFF"/>
        </w:rPr>
        <w:t>PrEP</w:t>
      </w:r>
      <w:proofErr w:type="spellEnd"/>
      <w:r w:rsidR="00FF7923" w:rsidRPr="00FF7923">
        <w:rPr>
          <w:rFonts w:asciiTheme="minorHAnsi" w:hAnsiTheme="minorHAnsi" w:cstheme="minorHAnsi"/>
          <w:color w:val="000000"/>
          <w:sz w:val="24"/>
          <w:szCs w:val="24"/>
          <w:shd w:val="clear" w:color="auto" w:fill="FFFFFF"/>
        </w:rPr>
        <w:t xml:space="preserve"> utilization in the US, including user and prescriber characteristics</w:t>
      </w:r>
      <w:r w:rsidR="00FF7923">
        <w:rPr>
          <w:rFonts w:asciiTheme="minorHAnsi" w:hAnsiTheme="minorHAnsi" w:cstheme="minorHAnsi"/>
          <w:color w:val="000000"/>
          <w:sz w:val="24"/>
          <w:szCs w:val="24"/>
          <w:shd w:val="clear" w:color="auto" w:fill="FFFFFF"/>
        </w:rPr>
        <w:t>.</w:t>
      </w:r>
    </w:p>
    <w:p w14:paraId="06A0DC12" w14:textId="50520F5C" w:rsidR="00D54391" w:rsidRPr="006635C2" w:rsidRDefault="00D54391" w:rsidP="00D54391">
      <w:pPr>
        <w:ind w:left="820" w:right="257" w:hanging="360"/>
        <w:rPr>
          <w:rFonts w:asciiTheme="minorHAnsi" w:eastAsia="Calibri" w:hAnsiTheme="minorHAnsi" w:cs="Calibri"/>
          <w:sz w:val="24"/>
          <w:szCs w:val="24"/>
        </w:rPr>
      </w:pPr>
      <w:r w:rsidRPr="006635C2">
        <w:rPr>
          <w:rFonts w:asciiTheme="minorHAnsi" w:eastAsia="Calibri" w:hAnsiTheme="minorHAnsi" w:cs="Calibri"/>
          <w:spacing w:val="1"/>
          <w:sz w:val="24"/>
          <w:szCs w:val="24"/>
        </w:rPr>
        <w:t>1</w:t>
      </w:r>
      <w:r w:rsidR="00FF7923" w:rsidRPr="006635C2">
        <w:rPr>
          <w:rFonts w:asciiTheme="minorHAnsi" w:eastAsia="Calibri" w:hAnsiTheme="minorHAnsi" w:cs="Calibri"/>
          <w:spacing w:val="1"/>
          <w:sz w:val="24"/>
          <w:szCs w:val="24"/>
        </w:rPr>
        <w:t>2</w:t>
      </w:r>
      <w:r w:rsidRPr="006635C2">
        <w:rPr>
          <w:rFonts w:asciiTheme="minorHAnsi" w:eastAsia="Calibri" w:hAnsiTheme="minorHAnsi" w:cs="Calibri"/>
          <w:sz w:val="24"/>
          <w:szCs w:val="24"/>
        </w:rPr>
        <w:t xml:space="preserve">. </w:t>
      </w:r>
      <w:proofErr w:type="spellStart"/>
      <w:r w:rsidR="006635C2" w:rsidRPr="006635C2">
        <w:rPr>
          <w:rFonts w:asciiTheme="minorHAnsi" w:eastAsia="Calibri" w:hAnsiTheme="minorHAnsi" w:cs="Calibri"/>
          <w:sz w:val="24"/>
          <w:szCs w:val="24"/>
        </w:rPr>
        <w:t>Hosek</w:t>
      </w:r>
      <w:proofErr w:type="spellEnd"/>
      <w:r w:rsidR="006635C2" w:rsidRPr="006635C2">
        <w:rPr>
          <w:rFonts w:asciiTheme="minorHAnsi" w:eastAsia="Calibri" w:hAnsiTheme="minorHAnsi" w:cs="Calibri"/>
          <w:sz w:val="24"/>
          <w:szCs w:val="24"/>
        </w:rPr>
        <w:t>, S.G</w:t>
      </w:r>
      <w:r w:rsidRPr="006635C2">
        <w:rPr>
          <w:rFonts w:asciiTheme="minorHAnsi" w:eastAsia="Calibri" w:hAnsiTheme="minorHAnsi" w:cs="Calibri"/>
          <w:sz w:val="24"/>
          <w:szCs w:val="24"/>
        </w:rPr>
        <w:t xml:space="preserve">., </w:t>
      </w:r>
      <w:r w:rsidR="006635C2">
        <w:rPr>
          <w:rFonts w:asciiTheme="minorHAnsi" w:eastAsia="Calibri" w:hAnsiTheme="minorHAnsi" w:cs="Calibri"/>
          <w:sz w:val="24"/>
          <w:szCs w:val="24"/>
        </w:rPr>
        <w:t>Rudy</w:t>
      </w:r>
      <w:r w:rsidRPr="006635C2">
        <w:rPr>
          <w:rFonts w:asciiTheme="minorHAnsi" w:eastAsia="Calibri" w:hAnsiTheme="minorHAnsi" w:cs="Calibri"/>
          <w:sz w:val="24"/>
          <w:szCs w:val="24"/>
        </w:rPr>
        <w:t>,</w:t>
      </w:r>
      <w:r w:rsidR="006635C2">
        <w:rPr>
          <w:rFonts w:asciiTheme="minorHAnsi" w:eastAsia="Calibri" w:hAnsiTheme="minorHAnsi" w:cs="Calibri"/>
          <w:sz w:val="24"/>
          <w:szCs w:val="24"/>
        </w:rPr>
        <w:t xml:space="preserve"> B., </w:t>
      </w:r>
      <w:proofErr w:type="spellStart"/>
      <w:r w:rsidR="006635C2">
        <w:rPr>
          <w:rFonts w:asciiTheme="minorHAnsi" w:eastAsia="Calibri" w:hAnsiTheme="minorHAnsi" w:cs="Calibri"/>
          <w:sz w:val="24"/>
          <w:szCs w:val="24"/>
        </w:rPr>
        <w:t>Landovitz</w:t>
      </w:r>
      <w:proofErr w:type="spellEnd"/>
      <w:r w:rsidR="006635C2">
        <w:rPr>
          <w:rFonts w:asciiTheme="minorHAnsi" w:eastAsia="Calibri" w:hAnsiTheme="minorHAnsi" w:cs="Calibri"/>
          <w:sz w:val="24"/>
          <w:szCs w:val="24"/>
        </w:rPr>
        <w:t xml:space="preserve">, R., </w:t>
      </w:r>
      <w:proofErr w:type="spellStart"/>
      <w:r w:rsidR="006635C2">
        <w:rPr>
          <w:rFonts w:asciiTheme="minorHAnsi" w:eastAsia="Calibri" w:hAnsiTheme="minorHAnsi" w:cs="Calibri"/>
          <w:sz w:val="24"/>
          <w:szCs w:val="24"/>
        </w:rPr>
        <w:t>Kapogiannis</w:t>
      </w:r>
      <w:proofErr w:type="spellEnd"/>
      <w:r w:rsidR="006635C2">
        <w:rPr>
          <w:rFonts w:asciiTheme="minorHAnsi" w:eastAsia="Calibri" w:hAnsiTheme="minorHAnsi" w:cs="Calibri"/>
          <w:sz w:val="24"/>
          <w:szCs w:val="24"/>
        </w:rPr>
        <w:t>, B., et al.</w:t>
      </w:r>
      <w:r w:rsidRPr="006635C2">
        <w:rPr>
          <w:rFonts w:asciiTheme="minorHAnsi" w:eastAsia="Calibri" w:hAnsiTheme="minorHAnsi" w:cs="Calibri"/>
          <w:sz w:val="24"/>
          <w:szCs w:val="24"/>
        </w:rPr>
        <w:t xml:space="preserve"> (201</w:t>
      </w:r>
      <w:r w:rsidR="006635C2">
        <w:rPr>
          <w:rFonts w:asciiTheme="minorHAnsi" w:eastAsia="Calibri" w:hAnsiTheme="minorHAnsi" w:cs="Calibri"/>
          <w:sz w:val="24"/>
          <w:szCs w:val="24"/>
        </w:rPr>
        <w:t>7</w:t>
      </w:r>
      <w:r w:rsidRPr="006635C2">
        <w:rPr>
          <w:rFonts w:asciiTheme="minorHAnsi" w:eastAsia="Calibri" w:hAnsiTheme="minorHAnsi" w:cs="Calibri"/>
          <w:sz w:val="24"/>
          <w:szCs w:val="24"/>
        </w:rPr>
        <w:t xml:space="preserve">). </w:t>
      </w:r>
      <w:r w:rsidR="006635C2">
        <w:rPr>
          <w:rFonts w:asciiTheme="minorHAnsi" w:eastAsia="Calibri" w:hAnsiTheme="minorHAnsi" w:cs="Calibri"/>
          <w:sz w:val="24"/>
          <w:szCs w:val="24"/>
        </w:rPr>
        <w:t>An HIV Preexposure Prophylaxis Demonstration Project and Safety Study for Young MSM</w:t>
      </w:r>
      <w:r w:rsidRPr="006635C2">
        <w:rPr>
          <w:rFonts w:asciiTheme="minorHAnsi" w:eastAsia="Calibri" w:hAnsiTheme="minorHAnsi" w:cstheme="minorHAnsi"/>
          <w:sz w:val="24"/>
          <w:szCs w:val="24"/>
        </w:rPr>
        <w:t xml:space="preserve">. </w:t>
      </w:r>
      <w:r w:rsidR="006635C2">
        <w:rPr>
          <w:rFonts w:asciiTheme="minorHAnsi" w:eastAsia="Calibri" w:hAnsiTheme="minorHAnsi" w:cstheme="minorHAnsi"/>
          <w:i/>
          <w:sz w:val="24"/>
          <w:szCs w:val="24"/>
        </w:rPr>
        <w:t>Journal of Acquired Immune Deficiency Syndromes</w:t>
      </w:r>
      <w:r w:rsidRPr="006635C2">
        <w:rPr>
          <w:rFonts w:asciiTheme="minorHAnsi" w:eastAsia="Calibri" w:hAnsiTheme="minorHAnsi" w:cstheme="minorHAnsi"/>
          <w:sz w:val="24"/>
          <w:szCs w:val="24"/>
        </w:rPr>
        <w:t xml:space="preserve">. </w:t>
      </w:r>
      <w:r w:rsidR="006635C2">
        <w:rPr>
          <w:rFonts w:asciiTheme="minorHAnsi" w:eastAsia="Calibri" w:hAnsiTheme="minorHAnsi" w:cstheme="minorHAnsi"/>
          <w:i/>
          <w:sz w:val="24"/>
          <w:szCs w:val="24"/>
        </w:rPr>
        <w:t>74</w:t>
      </w:r>
      <w:r w:rsidRPr="006635C2">
        <w:rPr>
          <w:rFonts w:asciiTheme="minorHAnsi" w:eastAsia="Calibri" w:hAnsiTheme="minorHAnsi" w:cstheme="minorHAnsi"/>
          <w:sz w:val="24"/>
          <w:szCs w:val="24"/>
        </w:rPr>
        <w:t>(</w:t>
      </w:r>
      <w:r w:rsidR="006635C2">
        <w:rPr>
          <w:rFonts w:asciiTheme="minorHAnsi" w:eastAsia="Calibri" w:hAnsiTheme="minorHAnsi" w:cstheme="minorHAnsi"/>
          <w:sz w:val="24"/>
          <w:szCs w:val="24"/>
        </w:rPr>
        <w:t>1), 21-29</w:t>
      </w:r>
      <w:r w:rsidRPr="006635C2">
        <w:rPr>
          <w:rFonts w:asciiTheme="minorHAnsi" w:eastAsia="Calibri" w:hAnsiTheme="minorHAnsi" w:cstheme="minorHAnsi"/>
          <w:sz w:val="24"/>
          <w:szCs w:val="24"/>
        </w:rPr>
        <w:t xml:space="preserve">. </w:t>
      </w:r>
      <w:r w:rsidR="006635C2">
        <w:rPr>
          <w:rFonts w:asciiTheme="minorHAnsi" w:eastAsia="Calibri" w:hAnsiTheme="minorHAnsi" w:cstheme="minorHAnsi"/>
          <w:sz w:val="24"/>
          <w:szCs w:val="24"/>
        </w:rPr>
        <w:t xml:space="preserve">DOI: </w:t>
      </w:r>
      <w:r w:rsidR="006635C2" w:rsidRPr="006635C2">
        <w:rPr>
          <w:rFonts w:asciiTheme="minorHAnsi" w:eastAsia="Calibri" w:hAnsiTheme="minorHAnsi" w:cstheme="minorHAnsi"/>
          <w:sz w:val="24"/>
          <w:szCs w:val="24"/>
        </w:rPr>
        <w:t>10.1097/QAI.0000000000001179</w:t>
      </w:r>
    </w:p>
    <w:p w14:paraId="2E23816F" w14:textId="66FAE296" w:rsidR="000844FF" w:rsidRPr="00567400" w:rsidRDefault="00D54391" w:rsidP="004C4C8D">
      <w:pPr>
        <w:tabs>
          <w:tab w:val="left" w:pos="1540"/>
        </w:tabs>
        <w:spacing w:before="3" w:line="280" w:lineRule="exact"/>
        <w:ind w:left="1540" w:right="112" w:hanging="360"/>
        <w:jc w:val="both"/>
        <w:rPr>
          <w:rFonts w:asciiTheme="minorHAnsi" w:hAnsiTheme="minorHAnsi" w:cstheme="minorHAnsi"/>
          <w:color w:val="000000"/>
          <w:sz w:val="24"/>
          <w:szCs w:val="24"/>
          <w:shd w:val="clear" w:color="auto" w:fill="FFFFFF"/>
        </w:rPr>
      </w:pPr>
      <w:r w:rsidRPr="006635C2">
        <w:rPr>
          <w:rFonts w:asciiTheme="minorHAnsi" w:hAnsiTheme="minorHAnsi"/>
          <w:sz w:val="24"/>
          <w:szCs w:val="24"/>
        </w:rPr>
        <w:tab/>
      </w:r>
      <w:r w:rsidR="006635C2" w:rsidRPr="006635C2">
        <w:rPr>
          <w:rFonts w:asciiTheme="minorHAnsi" w:hAnsiTheme="minorHAnsi" w:cstheme="minorHAnsi"/>
          <w:color w:val="000000"/>
          <w:sz w:val="24"/>
          <w:szCs w:val="24"/>
          <w:shd w:val="clear" w:color="auto" w:fill="FFFFFF"/>
        </w:rPr>
        <w:t>Young men who have sex with men (YMSM) are a key population for implementation of preexposure prophylaxis (</w:t>
      </w:r>
      <w:proofErr w:type="spellStart"/>
      <w:r w:rsidR="006635C2" w:rsidRPr="006635C2">
        <w:rPr>
          <w:rFonts w:asciiTheme="minorHAnsi" w:hAnsiTheme="minorHAnsi" w:cstheme="minorHAnsi"/>
          <w:color w:val="000000"/>
          <w:sz w:val="24"/>
          <w:szCs w:val="24"/>
          <w:shd w:val="clear" w:color="auto" w:fill="FFFFFF"/>
        </w:rPr>
        <w:t>PrEP</w:t>
      </w:r>
      <w:proofErr w:type="spellEnd"/>
      <w:r w:rsidR="006635C2" w:rsidRPr="006635C2">
        <w:rPr>
          <w:rFonts w:asciiTheme="minorHAnsi" w:hAnsiTheme="minorHAnsi" w:cstheme="minorHAnsi"/>
          <w:color w:val="000000"/>
          <w:sz w:val="24"/>
          <w:szCs w:val="24"/>
          <w:shd w:val="clear" w:color="auto" w:fill="FFFFFF"/>
        </w:rPr>
        <w:t xml:space="preserve">) interventions. This open-label study examined adherence to </w:t>
      </w:r>
      <w:proofErr w:type="spellStart"/>
      <w:r w:rsidR="006635C2" w:rsidRPr="006635C2">
        <w:rPr>
          <w:rFonts w:asciiTheme="minorHAnsi" w:hAnsiTheme="minorHAnsi" w:cstheme="minorHAnsi"/>
          <w:color w:val="000000"/>
          <w:sz w:val="24"/>
          <w:szCs w:val="24"/>
          <w:shd w:val="clear" w:color="auto" w:fill="FFFFFF"/>
        </w:rPr>
        <w:t>PrEP</w:t>
      </w:r>
      <w:proofErr w:type="spellEnd"/>
      <w:r w:rsidR="006635C2" w:rsidRPr="006635C2">
        <w:rPr>
          <w:rFonts w:asciiTheme="minorHAnsi" w:hAnsiTheme="minorHAnsi" w:cstheme="minorHAnsi"/>
          <w:color w:val="000000"/>
          <w:sz w:val="24"/>
          <w:szCs w:val="24"/>
          <w:shd w:val="clear" w:color="auto" w:fill="FFFFFF"/>
        </w:rPr>
        <w:t xml:space="preserve"> and assessed sexual behavior among a diverse sample of YMSM in 12 US cities.</w:t>
      </w:r>
      <w:r w:rsidR="006635C2">
        <w:rPr>
          <w:rFonts w:asciiTheme="minorHAnsi" w:hAnsiTheme="minorHAnsi" w:cstheme="minorHAnsi"/>
          <w:color w:val="000000"/>
          <w:sz w:val="24"/>
          <w:szCs w:val="24"/>
          <w:shd w:val="clear" w:color="auto" w:fill="FFFFFF"/>
        </w:rPr>
        <w:t xml:space="preserve"> </w:t>
      </w:r>
      <w:r w:rsidRPr="001D18EB">
        <w:rPr>
          <w:rFonts w:asciiTheme="minorHAnsi" w:hAnsiTheme="minorHAnsi" w:cstheme="minorHAnsi"/>
          <w:color w:val="000000"/>
          <w:sz w:val="24"/>
          <w:szCs w:val="24"/>
          <w:shd w:val="clear" w:color="auto" w:fill="FFFFFF"/>
        </w:rPr>
        <w:t> </w:t>
      </w:r>
      <w:r w:rsidR="006635C2" w:rsidRPr="006635C2">
        <w:rPr>
          <w:rFonts w:asciiTheme="minorHAnsi" w:hAnsiTheme="minorHAnsi" w:cstheme="minorHAnsi"/>
          <w:color w:val="000000"/>
          <w:sz w:val="24"/>
          <w:szCs w:val="24"/>
          <w:shd w:val="clear" w:color="auto" w:fill="FFFFFF"/>
        </w:rPr>
        <w:t>Eligible participants were 18- to 22-year-old HIV-uninfected MSM who reported HIV transmission risk behavior in the previous 6 months. Participants were provided daily tenofovir disoproxil fumarate/emtricitabine (Truvada). Study visits occurred at baseline, monthly through week 12, and then quarterly through week 48. Dried blood spots were serially collected for the quantification of tenofovir diphosphate (TFV-DP).</w:t>
      </w:r>
    </w:p>
    <w:p w14:paraId="4157442E" w14:textId="7A424F84" w:rsidR="004C4C8D" w:rsidRPr="00567400" w:rsidRDefault="004C4C8D" w:rsidP="004C4C8D">
      <w:pPr>
        <w:ind w:left="820" w:right="257" w:hanging="360"/>
        <w:rPr>
          <w:rFonts w:asciiTheme="minorHAnsi" w:eastAsia="Calibri" w:hAnsiTheme="minorHAnsi" w:cs="Calibri"/>
          <w:sz w:val="24"/>
          <w:szCs w:val="24"/>
        </w:rPr>
      </w:pPr>
      <w:r w:rsidRPr="00567400">
        <w:rPr>
          <w:rFonts w:asciiTheme="minorHAnsi" w:eastAsia="Calibri" w:hAnsiTheme="minorHAnsi" w:cs="Calibri"/>
          <w:spacing w:val="1"/>
          <w:sz w:val="24"/>
          <w:szCs w:val="24"/>
        </w:rPr>
        <w:t>1</w:t>
      </w:r>
      <w:r w:rsidR="00567400" w:rsidRPr="00567400">
        <w:rPr>
          <w:rFonts w:asciiTheme="minorHAnsi" w:eastAsia="Calibri" w:hAnsiTheme="minorHAnsi" w:cs="Calibri"/>
          <w:spacing w:val="1"/>
          <w:sz w:val="24"/>
          <w:szCs w:val="24"/>
        </w:rPr>
        <w:t>3</w:t>
      </w:r>
      <w:r w:rsidRPr="00567400">
        <w:rPr>
          <w:rFonts w:asciiTheme="minorHAnsi" w:eastAsia="Calibri" w:hAnsiTheme="minorHAnsi" w:cs="Calibri"/>
          <w:sz w:val="24"/>
          <w:szCs w:val="24"/>
        </w:rPr>
        <w:t xml:space="preserve">. </w:t>
      </w:r>
      <w:r w:rsidR="00567400" w:rsidRPr="00567400">
        <w:rPr>
          <w:rFonts w:asciiTheme="minorHAnsi" w:eastAsia="Calibri" w:hAnsiTheme="minorHAnsi" w:cs="Calibri"/>
          <w:sz w:val="24"/>
          <w:szCs w:val="24"/>
        </w:rPr>
        <w:t>Smith</w:t>
      </w:r>
      <w:r w:rsidRPr="00567400">
        <w:rPr>
          <w:rFonts w:asciiTheme="minorHAnsi" w:eastAsia="Calibri" w:hAnsiTheme="minorHAnsi" w:cs="Calibri"/>
          <w:sz w:val="24"/>
          <w:szCs w:val="24"/>
        </w:rPr>
        <w:t>,</w:t>
      </w:r>
      <w:r w:rsidR="00567400" w:rsidRPr="00567400">
        <w:rPr>
          <w:rFonts w:asciiTheme="minorHAnsi" w:eastAsia="Calibri" w:hAnsiTheme="minorHAnsi" w:cs="Calibri"/>
          <w:sz w:val="24"/>
          <w:szCs w:val="24"/>
        </w:rPr>
        <w:t xml:space="preserve"> D.K., Van Handel, M., </w:t>
      </w:r>
      <w:proofErr w:type="spellStart"/>
      <w:r w:rsidR="00567400" w:rsidRPr="00567400">
        <w:rPr>
          <w:rFonts w:asciiTheme="minorHAnsi" w:eastAsia="Calibri" w:hAnsiTheme="minorHAnsi" w:cs="Calibri"/>
          <w:sz w:val="24"/>
          <w:szCs w:val="24"/>
        </w:rPr>
        <w:t>Wolitski</w:t>
      </w:r>
      <w:proofErr w:type="spellEnd"/>
      <w:r w:rsidR="00567400">
        <w:rPr>
          <w:rFonts w:asciiTheme="minorHAnsi" w:eastAsia="Calibri" w:hAnsiTheme="minorHAnsi" w:cs="Calibri"/>
          <w:sz w:val="24"/>
          <w:szCs w:val="24"/>
        </w:rPr>
        <w:t>, R., Stryker, J.E., et al. (2015</w:t>
      </w:r>
      <w:r w:rsidR="0007231E">
        <w:rPr>
          <w:rFonts w:asciiTheme="minorHAnsi" w:eastAsia="Calibri" w:hAnsiTheme="minorHAnsi" w:cs="Calibri"/>
          <w:sz w:val="24"/>
          <w:szCs w:val="24"/>
        </w:rPr>
        <w:t>). Vital Signs: Estimated Percentages and Numbers of Adults with Indications for Preexposure Prophylaxis to Prevent HIV Acquisition</w:t>
      </w:r>
      <w:r w:rsidRPr="00567400">
        <w:rPr>
          <w:rFonts w:asciiTheme="minorHAnsi" w:eastAsia="Calibri" w:hAnsiTheme="minorHAnsi" w:cstheme="minorHAnsi"/>
          <w:sz w:val="24"/>
          <w:szCs w:val="24"/>
        </w:rPr>
        <w:t xml:space="preserve">. </w:t>
      </w:r>
      <w:r w:rsidR="0007231E">
        <w:rPr>
          <w:rFonts w:asciiTheme="minorHAnsi" w:eastAsia="Calibri" w:hAnsiTheme="minorHAnsi" w:cstheme="minorHAnsi"/>
          <w:i/>
          <w:sz w:val="24"/>
          <w:szCs w:val="24"/>
        </w:rPr>
        <w:t>Morbidity and Mortality Weekly Report.</w:t>
      </w:r>
      <w:r w:rsidRPr="00567400">
        <w:rPr>
          <w:rFonts w:asciiTheme="minorHAnsi" w:eastAsia="Calibri" w:hAnsiTheme="minorHAnsi" w:cstheme="minorHAnsi"/>
          <w:sz w:val="24"/>
          <w:szCs w:val="24"/>
        </w:rPr>
        <w:t xml:space="preserve"> </w:t>
      </w:r>
      <w:r w:rsidRPr="00567400">
        <w:rPr>
          <w:rFonts w:asciiTheme="minorHAnsi" w:eastAsia="Calibri" w:hAnsiTheme="minorHAnsi" w:cstheme="minorHAnsi"/>
          <w:i/>
          <w:sz w:val="24"/>
          <w:szCs w:val="24"/>
        </w:rPr>
        <w:t>6</w:t>
      </w:r>
      <w:r w:rsidR="0007231E">
        <w:rPr>
          <w:rFonts w:asciiTheme="minorHAnsi" w:eastAsia="Calibri" w:hAnsiTheme="minorHAnsi" w:cstheme="minorHAnsi"/>
          <w:i/>
          <w:sz w:val="24"/>
          <w:szCs w:val="24"/>
        </w:rPr>
        <w:t>4</w:t>
      </w:r>
      <w:r w:rsidR="0007231E">
        <w:rPr>
          <w:rFonts w:asciiTheme="minorHAnsi" w:eastAsia="Calibri" w:hAnsiTheme="minorHAnsi" w:cstheme="minorHAnsi"/>
          <w:sz w:val="24"/>
          <w:szCs w:val="24"/>
        </w:rPr>
        <w:t>(46), 1291-1295.</w:t>
      </w:r>
      <w:r w:rsidRPr="00567400">
        <w:rPr>
          <w:rFonts w:asciiTheme="minorHAnsi" w:eastAsia="Calibri" w:hAnsiTheme="minorHAnsi" w:cstheme="minorHAnsi"/>
          <w:sz w:val="24"/>
          <w:szCs w:val="24"/>
        </w:rPr>
        <w:t xml:space="preserve"> </w:t>
      </w:r>
    </w:p>
    <w:p w14:paraId="2C283F67" w14:textId="654BABB1" w:rsidR="00D54391" w:rsidRPr="001D18EB" w:rsidRDefault="004C4C8D" w:rsidP="001768ED">
      <w:pPr>
        <w:tabs>
          <w:tab w:val="left" w:pos="1540"/>
        </w:tabs>
        <w:spacing w:before="3" w:line="280" w:lineRule="exact"/>
        <w:ind w:left="1540" w:right="112" w:hanging="360"/>
        <w:jc w:val="both"/>
        <w:rPr>
          <w:rFonts w:asciiTheme="minorHAnsi" w:eastAsia="Calibri" w:hAnsiTheme="minorHAnsi" w:cstheme="minorHAnsi"/>
          <w:sz w:val="24"/>
          <w:szCs w:val="24"/>
        </w:rPr>
      </w:pPr>
      <w:r w:rsidRPr="00567400">
        <w:rPr>
          <w:rFonts w:asciiTheme="minorHAnsi" w:hAnsiTheme="minorHAnsi"/>
          <w:sz w:val="24"/>
          <w:szCs w:val="24"/>
        </w:rPr>
        <w:tab/>
      </w:r>
      <w:r w:rsidR="0007231E">
        <w:rPr>
          <w:rFonts w:asciiTheme="minorHAnsi" w:hAnsiTheme="minorHAnsi"/>
          <w:sz w:val="24"/>
          <w:szCs w:val="24"/>
        </w:rPr>
        <w:t xml:space="preserve">The </w:t>
      </w:r>
      <w:r w:rsidR="0007231E" w:rsidRPr="0007231E">
        <w:rPr>
          <w:rFonts w:asciiTheme="minorHAnsi" w:hAnsiTheme="minorHAnsi" w:cstheme="minorHAnsi"/>
          <w:color w:val="000000"/>
          <w:sz w:val="24"/>
          <w:szCs w:val="24"/>
          <w:shd w:val="clear" w:color="auto" w:fill="FFFFFF"/>
        </w:rPr>
        <w:t>C</w:t>
      </w:r>
      <w:r w:rsidR="0007231E">
        <w:rPr>
          <w:rFonts w:asciiTheme="minorHAnsi" w:hAnsiTheme="minorHAnsi" w:cstheme="minorHAnsi"/>
          <w:color w:val="000000"/>
          <w:sz w:val="24"/>
          <w:szCs w:val="24"/>
          <w:shd w:val="clear" w:color="auto" w:fill="FFFFFF"/>
        </w:rPr>
        <w:t xml:space="preserve">enters for </w:t>
      </w:r>
      <w:r w:rsidR="0007231E" w:rsidRPr="0007231E">
        <w:rPr>
          <w:rFonts w:asciiTheme="minorHAnsi" w:hAnsiTheme="minorHAnsi" w:cstheme="minorHAnsi"/>
          <w:color w:val="000000"/>
          <w:sz w:val="24"/>
          <w:szCs w:val="24"/>
          <w:shd w:val="clear" w:color="auto" w:fill="FFFFFF"/>
        </w:rPr>
        <w:t>D</w:t>
      </w:r>
      <w:r w:rsidR="0007231E">
        <w:rPr>
          <w:rFonts w:asciiTheme="minorHAnsi" w:hAnsiTheme="minorHAnsi" w:cstheme="minorHAnsi"/>
          <w:color w:val="000000"/>
          <w:sz w:val="24"/>
          <w:szCs w:val="24"/>
          <w:shd w:val="clear" w:color="auto" w:fill="FFFFFF"/>
        </w:rPr>
        <w:t xml:space="preserve">isease </w:t>
      </w:r>
      <w:r w:rsidR="0007231E" w:rsidRPr="0007231E">
        <w:rPr>
          <w:rFonts w:asciiTheme="minorHAnsi" w:hAnsiTheme="minorHAnsi" w:cstheme="minorHAnsi"/>
          <w:color w:val="000000"/>
          <w:sz w:val="24"/>
          <w:szCs w:val="24"/>
          <w:shd w:val="clear" w:color="auto" w:fill="FFFFFF"/>
        </w:rPr>
        <w:t>C</w:t>
      </w:r>
      <w:r w:rsidR="0007231E">
        <w:rPr>
          <w:rFonts w:asciiTheme="minorHAnsi" w:hAnsiTheme="minorHAnsi" w:cstheme="minorHAnsi"/>
          <w:color w:val="000000"/>
          <w:sz w:val="24"/>
          <w:szCs w:val="24"/>
          <w:shd w:val="clear" w:color="auto" w:fill="FFFFFF"/>
        </w:rPr>
        <w:t>ontrol and Prevention</w:t>
      </w:r>
      <w:r w:rsidR="0007231E" w:rsidRPr="0007231E">
        <w:rPr>
          <w:rFonts w:asciiTheme="minorHAnsi" w:hAnsiTheme="minorHAnsi" w:cstheme="minorHAnsi"/>
          <w:color w:val="000000"/>
          <w:sz w:val="24"/>
          <w:szCs w:val="24"/>
          <w:shd w:val="clear" w:color="auto" w:fill="FFFFFF"/>
        </w:rPr>
        <w:t xml:space="preserve"> analyzed nationally representative data to estimate the percentages and numbers of persons in the United States, by transmission risk group, with indications for </w:t>
      </w:r>
      <w:proofErr w:type="spellStart"/>
      <w:r w:rsidR="0007231E" w:rsidRPr="0007231E">
        <w:rPr>
          <w:rFonts w:asciiTheme="minorHAnsi" w:hAnsiTheme="minorHAnsi" w:cstheme="minorHAnsi"/>
          <w:color w:val="000000"/>
          <w:sz w:val="24"/>
          <w:szCs w:val="24"/>
          <w:shd w:val="clear" w:color="auto" w:fill="FFFFFF"/>
        </w:rPr>
        <w:t>PrEP</w:t>
      </w:r>
      <w:proofErr w:type="spellEnd"/>
      <w:r w:rsidR="0007231E" w:rsidRPr="0007231E">
        <w:rPr>
          <w:rFonts w:asciiTheme="minorHAnsi" w:hAnsiTheme="minorHAnsi" w:cstheme="minorHAnsi"/>
          <w:color w:val="000000"/>
          <w:sz w:val="24"/>
          <w:szCs w:val="24"/>
          <w:shd w:val="clear" w:color="auto" w:fill="FFFFFF"/>
        </w:rPr>
        <w:t xml:space="preserve"> consistent with the 2014 U.S. Public Health Service's </w:t>
      </w:r>
      <w:proofErr w:type="spellStart"/>
      <w:r w:rsidR="0007231E" w:rsidRPr="0007231E">
        <w:rPr>
          <w:rFonts w:asciiTheme="minorHAnsi" w:hAnsiTheme="minorHAnsi" w:cstheme="minorHAnsi"/>
          <w:color w:val="000000"/>
          <w:sz w:val="24"/>
          <w:szCs w:val="24"/>
          <w:shd w:val="clear" w:color="auto" w:fill="FFFFFF"/>
        </w:rPr>
        <w:t>PrEP</w:t>
      </w:r>
      <w:proofErr w:type="spellEnd"/>
      <w:r w:rsidR="0007231E" w:rsidRPr="0007231E">
        <w:rPr>
          <w:rFonts w:asciiTheme="minorHAnsi" w:hAnsiTheme="minorHAnsi" w:cstheme="minorHAnsi"/>
          <w:color w:val="000000"/>
          <w:sz w:val="24"/>
          <w:szCs w:val="24"/>
          <w:shd w:val="clear" w:color="auto" w:fill="FFFFFF"/>
        </w:rPr>
        <w:t xml:space="preserve"> clinical practice guideline.</w:t>
      </w:r>
    </w:p>
    <w:p w14:paraId="13E3051E" w14:textId="4EB3C534" w:rsidR="0007231E" w:rsidRPr="00567400" w:rsidRDefault="0007231E" w:rsidP="0007231E">
      <w:pPr>
        <w:ind w:left="820" w:right="257" w:hanging="360"/>
        <w:rPr>
          <w:rFonts w:asciiTheme="minorHAnsi" w:eastAsia="Calibri" w:hAnsiTheme="minorHAnsi" w:cs="Calibri"/>
          <w:sz w:val="24"/>
          <w:szCs w:val="24"/>
        </w:rPr>
      </w:pPr>
      <w:r w:rsidRPr="00567400">
        <w:rPr>
          <w:rFonts w:asciiTheme="minorHAnsi" w:eastAsia="Calibri" w:hAnsiTheme="minorHAnsi" w:cs="Calibri"/>
          <w:spacing w:val="1"/>
          <w:sz w:val="24"/>
          <w:szCs w:val="24"/>
        </w:rPr>
        <w:t>1</w:t>
      </w:r>
      <w:r w:rsidR="004532B9">
        <w:rPr>
          <w:rFonts w:asciiTheme="minorHAnsi" w:eastAsia="Calibri" w:hAnsiTheme="minorHAnsi" w:cs="Calibri"/>
          <w:spacing w:val="1"/>
          <w:sz w:val="24"/>
          <w:szCs w:val="24"/>
        </w:rPr>
        <w:t>4</w:t>
      </w:r>
      <w:r w:rsidRPr="00567400">
        <w:rPr>
          <w:rFonts w:asciiTheme="minorHAnsi" w:eastAsia="Calibri" w:hAnsiTheme="minorHAnsi" w:cs="Calibri"/>
          <w:sz w:val="24"/>
          <w:szCs w:val="24"/>
        </w:rPr>
        <w:t xml:space="preserve">. Smith, D.K., Van Handel, M., </w:t>
      </w:r>
      <w:proofErr w:type="spellStart"/>
      <w:r w:rsidRPr="00567400">
        <w:rPr>
          <w:rFonts w:asciiTheme="minorHAnsi" w:eastAsia="Calibri" w:hAnsiTheme="minorHAnsi" w:cs="Calibri"/>
          <w:sz w:val="24"/>
          <w:szCs w:val="24"/>
        </w:rPr>
        <w:t>Wolitski</w:t>
      </w:r>
      <w:proofErr w:type="spellEnd"/>
      <w:r>
        <w:rPr>
          <w:rFonts w:asciiTheme="minorHAnsi" w:eastAsia="Calibri" w:hAnsiTheme="minorHAnsi" w:cs="Calibri"/>
          <w:sz w:val="24"/>
          <w:szCs w:val="24"/>
        </w:rPr>
        <w:t>, R., Stryker, J.E., et al. (2015). Vital Signs: Estimated Percentages and Numbers of Adults with Indications for Preexposure Prophylaxis to Prevent HIV Acquisition</w:t>
      </w:r>
      <w:r w:rsidRPr="00567400">
        <w:rPr>
          <w:rFonts w:asciiTheme="minorHAnsi" w:eastAsia="Calibri" w:hAnsiTheme="minorHAnsi" w:cstheme="minorHAnsi"/>
          <w:sz w:val="24"/>
          <w:szCs w:val="24"/>
        </w:rPr>
        <w:t xml:space="preserve">. </w:t>
      </w:r>
      <w:r>
        <w:rPr>
          <w:rFonts w:asciiTheme="minorHAnsi" w:eastAsia="Calibri" w:hAnsiTheme="minorHAnsi" w:cstheme="minorHAnsi"/>
          <w:i/>
          <w:sz w:val="24"/>
          <w:szCs w:val="24"/>
        </w:rPr>
        <w:t>Morbidity and Mortality Weekly Report.</w:t>
      </w:r>
      <w:r w:rsidRPr="00567400">
        <w:rPr>
          <w:rFonts w:asciiTheme="minorHAnsi" w:eastAsia="Calibri" w:hAnsiTheme="minorHAnsi" w:cstheme="minorHAnsi"/>
          <w:sz w:val="24"/>
          <w:szCs w:val="24"/>
        </w:rPr>
        <w:t xml:space="preserve"> </w:t>
      </w:r>
      <w:r w:rsidRPr="00567400">
        <w:rPr>
          <w:rFonts w:asciiTheme="minorHAnsi" w:eastAsia="Calibri" w:hAnsiTheme="minorHAnsi" w:cstheme="minorHAnsi"/>
          <w:i/>
          <w:sz w:val="24"/>
          <w:szCs w:val="24"/>
        </w:rPr>
        <w:t>6</w:t>
      </w:r>
      <w:r>
        <w:rPr>
          <w:rFonts w:asciiTheme="minorHAnsi" w:eastAsia="Calibri" w:hAnsiTheme="minorHAnsi" w:cstheme="minorHAnsi"/>
          <w:i/>
          <w:sz w:val="24"/>
          <w:szCs w:val="24"/>
        </w:rPr>
        <w:t>4</w:t>
      </w:r>
      <w:r>
        <w:rPr>
          <w:rFonts w:asciiTheme="minorHAnsi" w:eastAsia="Calibri" w:hAnsiTheme="minorHAnsi" w:cstheme="minorHAnsi"/>
          <w:sz w:val="24"/>
          <w:szCs w:val="24"/>
        </w:rPr>
        <w:t>(46), 1291-1295.</w:t>
      </w:r>
      <w:r w:rsidRPr="00567400">
        <w:rPr>
          <w:rFonts w:asciiTheme="minorHAnsi" w:eastAsia="Calibri" w:hAnsiTheme="minorHAnsi" w:cstheme="minorHAnsi"/>
          <w:sz w:val="24"/>
          <w:szCs w:val="24"/>
        </w:rPr>
        <w:t xml:space="preserve"> </w:t>
      </w:r>
    </w:p>
    <w:p w14:paraId="3B547AD0" w14:textId="4DD7BC43" w:rsidR="00DC3A0A" w:rsidRPr="00200419" w:rsidRDefault="0007231E" w:rsidP="00200419">
      <w:pPr>
        <w:tabs>
          <w:tab w:val="left" w:pos="1540"/>
        </w:tabs>
        <w:spacing w:before="3" w:line="280" w:lineRule="exact"/>
        <w:ind w:left="1540" w:right="112" w:hanging="360"/>
        <w:jc w:val="both"/>
        <w:rPr>
          <w:rFonts w:asciiTheme="minorHAnsi" w:eastAsia="Calibri" w:hAnsiTheme="minorHAnsi" w:cstheme="minorHAnsi"/>
          <w:sz w:val="24"/>
          <w:szCs w:val="24"/>
        </w:rPr>
      </w:pPr>
      <w:r w:rsidRPr="00567400">
        <w:rPr>
          <w:rFonts w:asciiTheme="minorHAnsi" w:hAnsiTheme="minorHAnsi"/>
          <w:sz w:val="24"/>
          <w:szCs w:val="24"/>
        </w:rPr>
        <w:tab/>
      </w:r>
      <w:r>
        <w:rPr>
          <w:rFonts w:asciiTheme="minorHAnsi" w:hAnsiTheme="minorHAnsi"/>
          <w:sz w:val="24"/>
          <w:szCs w:val="24"/>
        </w:rPr>
        <w:t xml:space="preserve">The </w:t>
      </w:r>
      <w:r w:rsidRPr="0007231E">
        <w:rPr>
          <w:rFonts w:asciiTheme="minorHAnsi" w:hAnsiTheme="minorHAnsi" w:cstheme="minorHAnsi"/>
          <w:color w:val="000000"/>
          <w:sz w:val="24"/>
          <w:szCs w:val="24"/>
          <w:shd w:val="clear" w:color="auto" w:fill="FFFFFF"/>
        </w:rPr>
        <w:t>C</w:t>
      </w:r>
      <w:r>
        <w:rPr>
          <w:rFonts w:asciiTheme="minorHAnsi" w:hAnsiTheme="minorHAnsi" w:cstheme="minorHAnsi"/>
          <w:color w:val="000000"/>
          <w:sz w:val="24"/>
          <w:szCs w:val="24"/>
          <w:shd w:val="clear" w:color="auto" w:fill="FFFFFF"/>
        </w:rPr>
        <w:t xml:space="preserve">enters for </w:t>
      </w:r>
      <w:r w:rsidRPr="0007231E">
        <w:rPr>
          <w:rFonts w:asciiTheme="minorHAnsi" w:hAnsiTheme="minorHAnsi" w:cstheme="minorHAnsi"/>
          <w:color w:val="000000"/>
          <w:sz w:val="24"/>
          <w:szCs w:val="24"/>
          <w:shd w:val="clear" w:color="auto" w:fill="FFFFFF"/>
        </w:rPr>
        <w:t>D</w:t>
      </w:r>
      <w:r>
        <w:rPr>
          <w:rFonts w:asciiTheme="minorHAnsi" w:hAnsiTheme="minorHAnsi" w:cstheme="minorHAnsi"/>
          <w:color w:val="000000"/>
          <w:sz w:val="24"/>
          <w:szCs w:val="24"/>
          <w:shd w:val="clear" w:color="auto" w:fill="FFFFFF"/>
        </w:rPr>
        <w:t xml:space="preserve">isease </w:t>
      </w:r>
      <w:r w:rsidRPr="0007231E">
        <w:rPr>
          <w:rFonts w:asciiTheme="minorHAnsi" w:hAnsiTheme="minorHAnsi" w:cstheme="minorHAnsi"/>
          <w:color w:val="000000"/>
          <w:sz w:val="24"/>
          <w:szCs w:val="24"/>
          <w:shd w:val="clear" w:color="auto" w:fill="FFFFFF"/>
        </w:rPr>
        <w:t>C</w:t>
      </w:r>
      <w:r>
        <w:rPr>
          <w:rFonts w:asciiTheme="minorHAnsi" w:hAnsiTheme="minorHAnsi" w:cstheme="minorHAnsi"/>
          <w:color w:val="000000"/>
          <w:sz w:val="24"/>
          <w:szCs w:val="24"/>
          <w:shd w:val="clear" w:color="auto" w:fill="FFFFFF"/>
        </w:rPr>
        <w:t>ontrol and Prevention</w:t>
      </w:r>
      <w:r w:rsidRPr="0007231E">
        <w:rPr>
          <w:rFonts w:asciiTheme="minorHAnsi" w:hAnsiTheme="minorHAnsi" w:cstheme="minorHAnsi"/>
          <w:color w:val="000000"/>
          <w:sz w:val="24"/>
          <w:szCs w:val="24"/>
          <w:shd w:val="clear" w:color="auto" w:fill="FFFFFF"/>
        </w:rPr>
        <w:t xml:space="preserve"> analyzed nationally representative data to estimate the percentages and numbers of persons in the United States, by transmission risk group, with indications for </w:t>
      </w:r>
      <w:proofErr w:type="spellStart"/>
      <w:r w:rsidRPr="0007231E">
        <w:rPr>
          <w:rFonts w:asciiTheme="minorHAnsi" w:hAnsiTheme="minorHAnsi" w:cstheme="minorHAnsi"/>
          <w:color w:val="000000"/>
          <w:sz w:val="24"/>
          <w:szCs w:val="24"/>
          <w:shd w:val="clear" w:color="auto" w:fill="FFFFFF"/>
        </w:rPr>
        <w:t>PrEP</w:t>
      </w:r>
      <w:proofErr w:type="spellEnd"/>
      <w:r w:rsidRPr="0007231E">
        <w:rPr>
          <w:rFonts w:asciiTheme="minorHAnsi" w:hAnsiTheme="minorHAnsi" w:cstheme="minorHAnsi"/>
          <w:color w:val="000000"/>
          <w:sz w:val="24"/>
          <w:szCs w:val="24"/>
          <w:shd w:val="clear" w:color="auto" w:fill="FFFFFF"/>
        </w:rPr>
        <w:t xml:space="preserve"> consistent with the 2014 U.S. Public Health Service's </w:t>
      </w:r>
      <w:proofErr w:type="spellStart"/>
      <w:r w:rsidRPr="0007231E">
        <w:rPr>
          <w:rFonts w:asciiTheme="minorHAnsi" w:hAnsiTheme="minorHAnsi" w:cstheme="minorHAnsi"/>
          <w:color w:val="000000"/>
          <w:sz w:val="24"/>
          <w:szCs w:val="24"/>
          <w:shd w:val="clear" w:color="auto" w:fill="FFFFFF"/>
        </w:rPr>
        <w:t>PrEP</w:t>
      </w:r>
      <w:proofErr w:type="spellEnd"/>
      <w:r w:rsidRPr="0007231E">
        <w:rPr>
          <w:rFonts w:asciiTheme="minorHAnsi" w:hAnsiTheme="minorHAnsi" w:cstheme="minorHAnsi"/>
          <w:color w:val="000000"/>
          <w:sz w:val="24"/>
          <w:szCs w:val="24"/>
          <w:shd w:val="clear" w:color="auto" w:fill="FFFFFF"/>
        </w:rPr>
        <w:t xml:space="preserve"> clinical practice guideline.</w:t>
      </w:r>
    </w:p>
    <w:p w14:paraId="412AEF5F" w14:textId="49395D20" w:rsidR="0007231E" w:rsidRPr="00567400" w:rsidRDefault="0007231E" w:rsidP="0007231E">
      <w:pPr>
        <w:ind w:left="820" w:right="257" w:hanging="360"/>
        <w:rPr>
          <w:rFonts w:asciiTheme="minorHAnsi" w:eastAsia="Calibri" w:hAnsiTheme="minorHAnsi" w:cs="Calibri"/>
          <w:sz w:val="24"/>
          <w:szCs w:val="24"/>
        </w:rPr>
      </w:pPr>
      <w:r w:rsidRPr="00567400">
        <w:rPr>
          <w:rFonts w:asciiTheme="minorHAnsi" w:eastAsia="Calibri" w:hAnsiTheme="minorHAnsi" w:cs="Calibri"/>
          <w:spacing w:val="1"/>
          <w:sz w:val="24"/>
          <w:szCs w:val="24"/>
        </w:rPr>
        <w:t>1</w:t>
      </w:r>
      <w:r w:rsidR="004532B9">
        <w:rPr>
          <w:rFonts w:asciiTheme="minorHAnsi" w:eastAsia="Calibri" w:hAnsiTheme="minorHAnsi" w:cs="Calibri"/>
          <w:spacing w:val="1"/>
          <w:sz w:val="24"/>
          <w:szCs w:val="24"/>
        </w:rPr>
        <w:t>5</w:t>
      </w:r>
      <w:r w:rsidRPr="00567400">
        <w:rPr>
          <w:rFonts w:asciiTheme="minorHAnsi" w:eastAsia="Calibri" w:hAnsiTheme="minorHAnsi" w:cs="Calibri"/>
          <w:sz w:val="24"/>
          <w:szCs w:val="24"/>
        </w:rPr>
        <w:t xml:space="preserve">. Smith, D.K., Van Handel, M., </w:t>
      </w:r>
      <w:proofErr w:type="spellStart"/>
      <w:r w:rsidRPr="00567400">
        <w:rPr>
          <w:rFonts w:asciiTheme="minorHAnsi" w:eastAsia="Calibri" w:hAnsiTheme="minorHAnsi" w:cs="Calibri"/>
          <w:sz w:val="24"/>
          <w:szCs w:val="24"/>
        </w:rPr>
        <w:t>Wolitski</w:t>
      </w:r>
      <w:proofErr w:type="spellEnd"/>
      <w:r>
        <w:rPr>
          <w:rFonts w:asciiTheme="minorHAnsi" w:eastAsia="Calibri" w:hAnsiTheme="minorHAnsi" w:cs="Calibri"/>
          <w:sz w:val="24"/>
          <w:szCs w:val="24"/>
        </w:rPr>
        <w:t>, R., Stryker, J.E., et al. (2015). Vital Signs: Estimated Percentages and Numbers of Adults with Indications for Preexposure Prophylaxis to Prevent HIV Acquisition</w:t>
      </w:r>
      <w:r w:rsidRPr="00567400">
        <w:rPr>
          <w:rFonts w:asciiTheme="minorHAnsi" w:eastAsia="Calibri" w:hAnsiTheme="minorHAnsi" w:cstheme="minorHAnsi"/>
          <w:sz w:val="24"/>
          <w:szCs w:val="24"/>
        </w:rPr>
        <w:t xml:space="preserve">. </w:t>
      </w:r>
      <w:r>
        <w:rPr>
          <w:rFonts w:asciiTheme="minorHAnsi" w:eastAsia="Calibri" w:hAnsiTheme="minorHAnsi" w:cstheme="minorHAnsi"/>
          <w:i/>
          <w:sz w:val="24"/>
          <w:szCs w:val="24"/>
        </w:rPr>
        <w:t>Morbidity and Mortality Weekly Report.</w:t>
      </w:r>
      <w:r w:rsidRPr="00567400">
        <w:rPr>
          <w:rFonts w:asciiTheme="minorHAnsi" w:eastAsia="Calibri" w:hAnsiTheme="minorHAnsi" w:cstheme="minorHAnsi"/>
          <w:sz w:val="24"/>
          <w:szCs w:val="24"/>
        </w:rPr>
        <w:t xml:space="preserve"> </w:t>
      </w:r>
      <w:r w:rsidRPr="00567400">
        <w:rPr>
          <w:rFonts w:asciiTheme="minorHAnsi" w:eastAsia="Calibri" w:hAnsiTheme="minorHAnsi" w:cstheme="minorHAnsi"/>
          <w:i/>
          <w:sz w:val="24"/>
          <w:szCs w:val="24"/>
        </w:rPr>
        <w:t>6</w:t>
      </w:r>
      <w:r>
        <w:rPr>
          <w:rFonts w:asciiTheme="minorHAnsi" w:eastAsia="Calibri" w:hAnsiTheme="minorHAnsi" w:cstheme="minorHAnsi"/>
          <w:i/>
          <w:sz w:val="24"/>
          <w:szCs w:val="24"/>
        </w:rPr>
        <w:t>4</w:t>
      </w:r>
      <w:r>
        <w:rPr>
          <w:rFonts w:asciiTheme="minorHAnsi" w:eastAsia="Calibri" w:hAnsiTheme="minorHAnsi" w:cstheme="minorHAnsi"/>
          <w:sz w:val="24"/>
          <w:szCs w:val="24"/>
        </w:rPr>
        <w:t>(46), 1291-1295.</w:t>
      </w:r>
      <w:r w:rsidRPr="00567400">
        <w:rPr>
          <w:rFonts w:asciiTheme="minorHAnsi" w:eastAsia="Calibri" w:hAnsiTheme="minorHAnsi" w:cstheme="minorHAnsi"/>
          <w:sz w:val="24"/>
          <w:szCs w:val="24"/>
        </w:rPr>
        <w:t xml:space="preserve"> </w:t>
      </w:r>
    </w:p>
    <w:p w14:paraId="3B86E5CE" w14:textId="0345458A" w:rsidR="0007231E" w:rsidRPr="00200419" w:rsidRDefault="0007231E" w:rsidP="00200419">
      <w:pPr>
        <w:tabs>
          <w:tab w:val="left" w:pos="1540"/>
        </w:tabs>
        <w:spacing w:before="3" w:line="280" w:lineRule="exact"/>
        <w:ind w:left="1540" w:right="112" w:hanging="360"/>
        <w:jc w:val="both"/>
        <w:rPr>
          <w:rFonts w:asciiTheme="minorHAnsi" w:eastAsia="Calibri" w:hAnsiTheme="minorHAnsi" w:cstheme="minorHAnsi"/>
          <w:sz w:val="24"/>
          <w:szCs w:val="24"/>
        </w:rPr>
      </w:pPr>
      <w:r w:rsidRPr="00567400">
        <w:rPr>
          <w:rFonts w:asciiTheme="minorHAnsi" w:hAnsiTheme="minorHAnsi"/>
          <w:sz w:val="24"/>
          <w:szCs w:val="24"/>
        </w:rPr>
        <w:tab/>
      </w:r>
      <w:r>
        <w:rPr>
          <w:rFonts w:asciiTheme="minorHAnsi" w:hAnsiTheme="minorHAnsi"/>
          <w:sz w:val="24"/>
          <w:szCs w:val="24"/>
        </w:rPr>
        <w:t xml:space="preserve">The </w:t>
      </w:r>
      <w:r w:rsidRPr="0007231E">
        <w:rPr>
          <w:rFonts w:asciiTheme="minorHAnsi" w:hAnsiTheme="minorHAnsi" w:cstheme="minorHAnsi"/>
          <w:color w:val="000000"/>
          <w:sz w:val="24"/>
          <w:szCs w:val="24"/>
          <w:shd w:val="clear" w:color="auto" w:fill="FFFFFF"/>
        </w:rPr>
        <w:t>C</w:t>
      </w:r>
      <w:r>
        <w:rPr>
          <w:rFonts w:asciiTheme="minorHAnsi" w:hAnsiTheme="minorHAnsi" w:cstheme="minorHAnsi"/>
          <w:color w:val="000000"/>
          <w:sz w:val="24"/>
          <w:szCs w:val="24"/>
          <w:shd w:val="clear" w:color="auto" w:fill="FFFFFF"/>
        </w:rPr>
        <w:t xml:space="preserve">enters for </w:t>
      </w:r>
      <w:r w:rsidRPr="0007231E">
        <w:rPr>
          <w:rFonts w:asciiTheme="minorHAnsi" w:hAnsiTheme="minorHAnsi" w:cstheme="minorHAnsi"/>
          <w:color w:val="000000"/>
          <w:sz w:val="24"/>
          <w:szCs w:val="24"/>
          <w:shd w:val="clear" w:color="auto" w:fill="FFFFFF"/>
        </w:rPr>
        <w:t>D</w:t>
      </w:r>
      <w:r>
        <w:rPr>
          <w:rFonts w:asciiTheme="minorHAnsi" w:hAnsiTheme="minorHAnsi" w:cstheme="minorHAnsi"/>
          <w:color w:val="000000"/>
          <w:sz w:val="24"/>
          <w:szCs w:val="24"/>
          <w:shd w:val="clear" w:color="auto" w:fill="FFFFFF"/>
        </w:rPr>
        <w:t xml:space="preserve">isease </w:t>
      </w:r>
      <w:r w:rsidRPr="0007231E">
        <w:rPr>
          <w:rFonts w:asciiTheme="minorHAnsi" w:hAnsiTheme="minorHAnsi" w:cstheme="minorHAnsi"/>
          <w:color w:val="000000"/>
          <w:sz w:val="24"/>
          <w:szCs w:val="24"/>
          <w:shd w:val="clear" w:color="auto" w:fill="FFFFFF"/>
        </w:rPr>
        <w:t>C</w:t>
      </w:r>
      <w:r>
        <w:rPr>
          <w:rFonts w:asciiTheme="minorHAnsi" w:hAnsiTheme="minorHAnsi" w:cstheme="minorHAnsi"/>
          <w:color w:val="000000"/>
          <w:sz w:val="24"/>
          <w:szCs w:val="24"/>
          <w:shd w:val="clear" w:color="auto" w:fill="FFFFFF"/>
        </w:rPr>
        <w:t>ontrol and Prevention</w:t>
      </w:r>
      <w:r w:rsidRPr="0007231E">
        <w:rPr>
          <w:rFonts w:asciiTheme="minorHAnsi" w:hAnsiTheme="minorHAnsi" w:cstheme="minorHAnsi"/>
          <w:color w:val="000000"/>
          <w:sz w:val="24"/>
          <w:szCs w:val="24"/>
          <w:shd w:val="clear" w:color="auto" w:fill="FFFFFF"/>
        </w:rPr>
        <w:t xml:space="preserve"> analyzed nationally representative data to estimate the percentages and numbers of persons in the United States, by transmission risk group, with indications for </w:t>
      </w:r>
      <w:proofErr w:type="spellStart"/>
      <w:r w:rsidRPr="0007231E">
        <w:rPr>
          <w:rFonts w:asciiTheme="minorHAnsi" w:hAnsiTheme="minorHAnsi" w:cstheme="minorHAnsi"/>
          <w:color w:val="000000"/>
          <w:sz w:val="24"/>
          <w:szCs w:val="24"/>
          <w:shd w:val="clear" w:color="auto" w:fill="FFFFFF"/>
        </w:rPr>
        <w:t>PrEP</w:t>
      </w:r>
      <w:proofErr w:type="spellEnd"/>
      <w:r w:rsidRPr="0007231E">
        <w:rPr>
          <w:rFonts w:asciiTheme="minorHAnsi" w:hAnsiTheme="minorHAnsi" w:cstheme="minorHAnsi"/>
          <w:color w:val="000000"/>
          <w:sz w:val="24"/>
          <w:szCs w:val="24"/>
          <w:shd w:val="clear" w:color="auto" w:fill="FFFFFF"/>
        </w:rPr>
        <w:t xml:space="preserve"> consistent with the 2014 U.S. Public Health Service's </w:t>
      </w:r>
      <w:proofErr w:type="spellStart"/>
      <w:r w:rsidRPr="0007231E">
        <w:rPr>
          <w:rFonts w:asciiTheme="minorHAnsi" w:hAnsiTheme="minorHAnsi" w:cstheme="minorHAnsi"/>
          <w:color w:val="000000"/>
          <w:sz w:val="24"/>
          <w:szCs w:val="24"/>
          <w:shd w:val="clear" w:color="auto" w:fill="FFFFFF"/>
        </w:rPr>
        <w:t>PrEP</w:t>
      </w:r>
      <w:proofErr w:type="spellEnd"/>
      <w:r w:rsidRPr="0007231E">
        <w:rPr>
          <w:rFonts w:asciiTheme="minorHAnsi" w:hAnsiTheme="minorHAnsi" w:cstheme="minorHAnsi"/>
          <w:color w:val="000000"/>
          <w:sz w:val="24"/>
          <w:szCs w:val="24"/>
          <w:shd w:val="clear" w:color="auto" w:fill="FFFFFF"/>
        </w:rPr>
        <w:t xml:space="preserve"> clinical practice guideline.</w:t>
      </w:r>
    </w:p>
    <w:p w14:paraId="5B9542F8" w14:textId="2C8C8DAA" w:rsidR="00247378" w:rsidRPr="00567400" w:rsidRDefault="00247378" w:rsidP="00247378">
      <w:pPr>
        <w:ind w:left="820" w:right="257" w:hanging="360"/>
        <w:rPr>
          <w:rFonts w:asciiTheme="minorHAnsi" w:eastAsia="Calibri" w:hAnsiTheme="minorHAnsi" w:cs="Calibri"/>
          <w:sz w:val="24"/>
          <w:szCs w:val="24"/>
        </w:rPr>
      </w:pPr>
      <w:r w:rsidRPr="00567400">
        <w:rPr>
          <w:rFonts w:asciiTheme="minorHAnsi" w:eastAsia="Calibri" w:hAnsiTheme="minorHAnsi" w:cs="Calibri"/>
          <w:spacing w:val="1"/>
          <w:sz w:val="24"/>
          <w:szCs w:val="24"/>
        </w:rPr>
        <w:t>1</w:t>
      </w:r>
      <w:r w:rsidR="004532B9">
        <w:rPr>
          <w:rFonts w:asciiTheme="minorHAnsi" w:eastAsia="Calibri" w:hAnsiTheme="minorHAnsi" w:cs="Calibri"/>
          <w:spacing w:val="1"/>
          <w:sz w:val="24"/>
          <w:szCs w:val="24"/>
        </w:rPr>
        <w:t>6</w:t>
      </w:r>
      <w:r w:rsidRPr="00567400">
        <w:rPr>
          <w:rFonts w:asciiTheme="minorHAnsi" w:eastAsia="Calibri" w:hAnsiTheme="minorHAnsi" w:cs="Calibri"/>
          <w:sz w:val="24"/>
          <w:szCs w:val="24"/>
        </w:rPr>
        <w:t xml:space="preserve">. </w:t>
      </w:r>
      <w:r>
        <w:rPr>
          <w:rFonts w:asciiTheme="minorHAnsi" w:eastAsia="Calibri" w:hAnsiTheme="minorHAnsi" w:cs="Calibri"/>
          <w:sz w:val="24"/>
          <w:szCs w:val="24"/>
        </w:rPr>
        <w:t>Bush, R.S., Magnuson, K., et al. (2016). Utilization of Emtricitabine/Tenofovir (FTC/TDF) for HIV Pre-exposure Prophylaxis in the United States by Gender (2013-1Q2016)</w:t>
      </w:r>
      <w:r w:rsidRPr="00567400">
        <w:rPr>
          <w:rFonts w:asciiTheme="minorHAnsi" w:eastAsia="Calibri" w:hAnsiTheme="minorHAnsi" w:cstheme="minorHAnsi"/>
          <w:sz w:val="24"/>
          <w:szCs w:val="24"/>
        </w:rPr>
        <w:t xml:space="preserve">. </w:t>
      </w:r>
      <w:r>
        <w:rPr>
          <w:rFonts w:asciiTheme="minorHAnsi" w:eastAsia="Calibri" w:hAnsiTheme="minorHAnsi" w:cstheme="minorHAnsi"/>
          <w:i/>
          <w:sz w:val="24"/>
          <w:szCs w:val="24"/>
        </w:rPr>
        <w:t>Journal of the International AIDS Society.</w:t>
      </w:r>
      <w:r w:rsidRPr="00567400">
        <w:rPr>
          <w:rFonts w:asciiTheme="minorHAnsi" w:eastAsia="Calibri" w:hAnsiTheme="minorHAnsi" w:cstheme="minorHAnsi"/>
          <w:sz w:val="24"/>
          <w:szCs w:val="24"/>
        </w:rPr>
        <w:t xml:space="preserve"> </w:t>
      </w:r>
      <w:r>
        <w:rPr>
          <w:rFonts w:asciiTheme="minorHAnsi" w:eastAsia="Calibri" w:hAnsiTheme="minorHAnsi" w:cstheme="minorHAnsi"/>
          <w:i/>
          <w:sz w:val="24"/>
          <w:szCs w:val="24"/>
        </w:rPr>
        <w:t>19</w:t>
      </w:r>
      <w:r>
        <w:rPr>
          <w:rFonts w:asciiTheme="minorHAnsi" w:eastAsia="Calibri" w:hAnsiTheme="minorHAnsi" w:cstheme="minorHAnsi"/>
          <w:sz w:val="24"/>
          <w:szCs w:val="24"/>
        </w:rPr>
        <w:t>(Suppl 7), 14-15.</w:t>
      </w:r>
      <w:r w:rsidRPr="00567400">
        <w:rPr>
          <w:rFonts w:asciiTheme="minorHAnsi" w:eastAsia="Calibri" w:hAnsiTheme="minorHAnsi" w:cstheme="minorHAnsi"/>
          <w:sz w:val="24"/>
          <w:szCs w:val="24"/>
        </w:rPr>
        <w:t xml:space="preserve"> </w:t>
      </w:r>
    </w:p>
    <w:p w14:paraId="0837013C" w14:textId="530B33DF" w:rsidR="00247378" w:rsidRDefault="00247378" w:rsidP="00247378">
      <w:pPr>
        <w:tabs>
          <w:tab w:val="left" w:pos="1540"/>
        </w:tabs>
        <w:spacing w:before="3" w:line="280" w:lineRule="exact"/>
        <w:ind w:left="1540" w:right="112" w:hanging="360"/>
        <w:jc w:val="both"/>
        <w:rPr>
          <w:rFonts w:asciiTheme="minorHAnsi" w:hAnsiTheme="minorHAnsi"/>
          <w:sz w:val="24"/>
          <w:szCs w:val="24"/>
        </w:rPr>
      </w:pPr>
      <w:r w:rsidRPr="00567400">
        <w:rPr>
          <w:rFonts w:asciiTheme="minorHAnsi" w:hAnsiTheme="minorHAnsi"/>
          <w:sz w:val="24"/>
          <w:szCs w:val="24"/>
        </w:rPr>
        <w:tab/>
      </w:r>
    </w:p>
    <w:p w14:paraId="6FD1DC7B" w14:textId="61045F28" w:rsidR="00247378" w:rsidRDefault="00247378" w:rsidP="00247378">
      <w:pPr>
        <w:tabs>
          <w:tab w:val="left" w:pos="1540"/>
        </w:tabs>
        <w:spacing w:before="3" w:line="280" w:lineRule="exact"/>
        <w:ind w:left="1540" w:right="112" w:hanging="360"/>
        <w:jc w:val="both"/>
        <w:rPr>
          <w:rFonts w:asciiTheme="minorHAnsi" w:hAnsiTheme="minorHAnsi"/>
          <w:sz w:val="24"/>
          <w:szCs w:val="24"/>
        </w:rPr>
      </w:pPr>
    </w:p>
    <w:p w14:paraId="7FC360C3" w14:textId="11F15204" w:rsidR="00247378" w:rsidRDefault="00247378" w:rsidP="00247378">
      <w:pPr>
        <w:tabs>
          <w:tab w:val="left" w:pos="1540"/>
        </w:tabs>
        <w:spacing w:before="3" w:line="280" w:lineRule="exact"/>
        <w:ind w:left="1540" w:right="112" w:hanging="360"/>
        <w:jc w:val="both"/>
        <w:rPr>
          <w:rFonts w:asciiTheme="minorHAnsi" w:eastAsia="Calibri" w:hAnsiTheme="minorHAnsi" w:cstheme="minorHAnsi"/>
          <w:sz w:val="24"/>
          <w:szCs w:val="24"/>
        </w:rPr>
      </w:pPr>
    </w:p>
    <w:p w14:paraId="71E42503" w14:textId="586CE1D2" w:rsidR="004532B9" w:rsidRDefault="004532B9" w:rsidP="00247378">
      <w:pPr>
        <w:tabs>
          <w:tab w:val="left" w:pos="1540"/>
        </w:tabs>
        <w:spacing w:before="3" w:line="280" w:lineRule="exact"/>
        <w:ind w:left="1540" w:right="112" w:hanging="360"/>
        <w:jc w:val="both"/>
        <w:rPr>
          <w:rFonts w:asciiTheme="minorHAnsi" w:eastAsia="Calibri" w:hAnsiTheme="minorHAnsi" w:cstheme="minorHAnsi"/>
          <w:sz w:val="24"/>
          <w:szCs w:val="24"/>
        </w:rPr>
      </w:pPr>
    </w:p>
    <w:p w14:paraId="64200755" w14:textId="3BC6441C" w:rsidR="004532B9" w:rsidRDefault="004532B9" w:rsidP="00247378">
      <w:pPr>
        <w:tabs>
          <w:tab w:val="left" w:pos="1540"/>
        </w:tabs>
        <w:spacing w:before="3" w:line="280" w:lineRule="exact"/>
        <w:ind w:left="1540" w:right="112" w:hanging="360"/>
        <w:jc w:val="both"/>
        <w:rPr>
          <w:rFonts w:asciiTheme="minorHAnsi" w:eastAsia="Calibri" w:hAnsiTheme="minorHAnsi" w:cstheme="minorHAnsi"/>
          <w:sz w:val="24"/>
          <w:szCs w:val="24"/>
        </w:rPr>
      </w:pPr>
    </w:p>
    <w:p w14:paraId="402FC628" w14:textId="77777777" w:rsidR="004532B9" w:rsidRPr="001D18EB" w:rsidRDefault="004532B9" w:rsidP="00247378">
      <w:pPr>
        <w:tabs>
          <w:tab w:val="left" w:pos="1540"/>
        </w:tabs>
        <w:spacing w:before="3" w:line="280" w:lineRule="exact"/>
        <w:ind w:left="1540" w:right="112" w:hanging="360"/>
        <w:jc w:val="both"/>
        <w:rPr>
          <w:rFonts w:asciiTheme="minorHAnsi" w:eastAsia="Calibri" w:hAnsiTheme="minorHAnsi" w:cstheme="minorHAnsi"/>
          <w:sz w:val="24"/>
          <w:szCs w:val="24"/>
        </w:rPr>
      </w:pPr>
    </w:p>
    <w:p w14:paraId="7F362779" w14:textId="77777777" w:rsidR="00247378" w:rsidRPr="00EB17C6" w:rsidRDefault="00247378">
      <w:pPr>
        <w:spacing w:before="2" w:line="180" w:lineRule="exact"/>
        <w:rPr>
          <w:rFonts w:asciiTheme="minorHAnsi" w:hAnsiTheme="minorHAnsi"/>
          <w:sz w:val="24"/>
          <w:szCs w:val="24"/>
        </w:rPr>
      </w:pPr>
    </w:p>
    <w:p w14:paraId="32F863FE" w14:textId="4CB47894" w:rsidR="00DC3A0A" w:rsidRPr="00EB17C6" w:rsidRDefault="004374F5">
      <w:pPr>
        <w:ind w:left="100"/>
        <w:rPr>
          <w:rFonts w:asciiTheme="minorHAnsi" w:eastAsia="Calibri" w:hAnsiTheme="minorHAnsi" w:cs="Calibri"/>
          <w:sz w:val="24"/>
          <w:szCs w:val="24"/>
        </w:rPr>
      </w:pPr>
      <w:r w:rsidRPr="00EB17C6">
        <w:rPr>
          <w:rFonts w:asciiTheme="minorHAnsi" w:eastAsia="Calibri" w:hAnsiTheme="minorHAnsi" w:cs="Calibri"/>
          <w:b/>
          <w:spacing w:val="-1"/>
          <w:sz w:val="24"/>
          <w:szCs w:val="24"/>
          <w:u w:val="single" w:color="000000"/>
        </w:rPr>
        <w:lastRenderedPageBreak/>
        <w:t>Re</w:t>
      </w:r>
      <w:r w:rsidRPr="00EB17C6">
        <w:rPr>
          <w:rFonts w:asciiTheme="minorHAnsi" w:eastAsia="Calibri" w:hAnsiTheme="minorHAnsi" w:cs="Calibri"/>
          <w:b/>
          <w:spacing w:val="1"/>
          <w:sz w:val="24"/>
          <w:szCs w:val="24"/>
          <w:u w:val="single" w:color="000000"/>
        </w:rPr>
        <w:t>p</w:t>
      </w:r>
      <w:r w:rsidRPr="00EB17C6">
        <w:rPr>
          <w:rFonts w:asciiTheme="minorHAnsi" w:eastAsia="Calibri" w:hAnsiTheme="minorHAnsi" w:cs="Calibri"/>
          <w:b/>
          <w:sz w:val="24"/>
          <w:szCs w:val="24"/>
          <w:u w:val="single" w:color="000000"/>
        </w:rPr>
        <w:t>o</w:t>
      </w:r>
      <w:r w:rsidRPr="00EB17C6">
        <w:rPr>
          <w:rFonts w:asciiTheme="minorHAnsi" w:eastAsia="Calibri" w:hAnsiTheme="minorHAnsi" w:cs="Calibri"/>
          <w:b/>
          <w:spacing w:val="1"/>
          <w:sz w:val="24"/>
          <w:szCs w:val="24"/>
          <w:u w:val="single" w:color="000000"/>
        </w:rPr>
        <w:t>r</w:t>
      </w:r>
      <w:r w:rsidRPr="00EB17C6">
        <w:rPr>
          <w:rFonts w:asciiTheme="minorHAnsi" w:eastAsia="Calibri" w:hAnsiTheme="minorHAnsi" w:cs="Calibri"/>
          <w:b/>
          <w:sz w:val="24"/>
          <w:szCs w:val="24"/>
          <w:u w:val="single" w:color="000000"/>
        </w:rPr>
        <w:t>ts</w:t>
      </w:r>
      <w:r w:rsidRPr="00EB17C6">
        <w:rPr>
          <w:rFonts w:asciiTheme="minorHAnsi" w:eastAsia="Calibri" w:hAnsiTheme="minorHAnsi" w:cs="Calibri"/>
          <w:b/>
          <w:spacing w:val="2"/>
          <w:sz w:val="24"/>
          <w:szCs w:val="24"/>
          <w:u w:val="single" w:color="000000"/>
        </w:rPr>
        <w:t xml:space="preserve"> </w:t>
      </w:r>
      <w:r w:rsidRPr="00EB17C6">
        <w:rPr>
          <w:rFonts w:asciiTheme="minorHAnsi" w:eastAsia="Calibri" w:hAnsiTheme="minorHAnsi" w:cs="Calibri"/>
          <w:b/>
          <w:spacing w:val="-1"/>
          <w:sz w:val="24"/>
          <w:szCs w:val="24"/>
          <w:u w:val="single" w:color="000000"/>
        </w:rPr>
        <w:t>a</w:t>
      </w:r>
      <w:r w:rsidRPr="00EB17C6">
        <w:rPr>
          <w:rFonts w:asciiTheme="minorHAnsi" w:eastAsia="Calibri" w:hAnsiTheme="minorHAnsi" w:cs="Calibri"/>
          <w:b/>
          <w:spacing w:val="1"/>
          <w:sz w:val="24"/>
          <w:szCs w:val="24"/>
          <w:u w:val="single" w:color="000000"/>
        </w:rPr>
        <w:t>n</w:t>
      </w:r>
      <w:r w:rsidRPr="00EB17C6">
        <w:rPr>
          <w:rFonts w:asciiTheme="minorHAnsi" w:eastAsia="Calibri" w:hAnsiTheme="minorHAnsi" w:cs="Calibri"/>
          <w:b/>
          <w:sz w:val="24"/>
          <w:szCs w:val="24"/>
          <w:u w:val="single" w:color="000000"/>
        </w:rPr>
        <w:t>d</w:t>
      </w:r>
      <w:r w:rsidRPr="00EB17C6">
        <w:rPr>
          <w:rFonts w:asciiTheme="minorHAnsi" w:eastAsia="Calibri" w:hAnsiTheme="minorHAnsi" w:cs="Calibri"/>
          <w:b/>
          <w:spacing w:val="-1"/>
          <w:sz w:val="24"/>
          <w:szCs w:val="24"/>
          <w:u w:val="single" w:color="000000"/>
        </w:rPr>
        <w:t xml:space="preserve"> </w:t>
      </w:r>
      <w:r w:rsidRPr="00EB17C6">
        <w:rPr>
          <w:rFonts w:asciiTheme="minorHAnsi" w:eastAsia="Calibri" w:hAnsiTheme="minorHAnsi" w:cs="Calibri"/>
          <w:b/>
          <w:sz w:val="24"/>
          <w:szCs w:val="24"/>
          <w:u w:val="single" w:color="000000"/>
        </w:rPr>
        <w:t>Fact</w:t>
      </w:r>
      <w:r w:rsidRPr="00EB17C6">
        <w:rPr>
          <w:rFonts w:asciiTheme="minorHAnsi" w:eastAsia="Calibri" w:hAnsiTheme="minorHAnsi" w:cs="Calibri"/>
          <w:b/>
          <w:spacing w:val="-2"/>
          <w:sz w:val="24"/>
          <w:szCs w:val="24"/>
          <w:u w:val="single" w:color="000000"/>
        </w:rPr>
        <w:t>s</w:t>
      </w:r>
      <w:r w:rsidRPr="00EB17C6">
        <w:rPr>
          <w:rFonts w:asciiTheme="minorHAnsi" w:eastAsia="Calibri" w:hAnsiTheme="minorHAnsi" w:cs="Calibri"/>
          <w:b/>
          <w:spacing w:val="1"/>
          <w:sz w:val="24"/>
          <w:szCs w:val="24"/>
          <w:u w:val="single" w:color="000000"/>
        </w:rPr>
        <w:t>h</w:t>
      </w:r>
      <w:r w:rsidRPr="00EB17C6">
        <w:rPr>
          <w:rFonts w:asciiTheme="minorHAnsi" w:eastAsia="Calibri" w:hAnsiTheme="minorHAnsi" w:cs="Calibri"/>
          <w:b/>
          <w:spacing w:val="-1"/>
          <w:sz w:val="24"/>
          <w:szCs w:val="24"/>
          <w:u w:val="single" w:color="000000"/>
        </w:rPr>
        <w:t>ee</w:t>
      </w:r>
      <w:r w:rsidRPr="00EB17C6">
        <w:rPr>
          <w:rFonts w:asciiTheme="minorHAnsi" w:eastAsia="Calibri" w:hAnsiTheme="minorHAnsi" w:cs="Calibri"/>
          <w:b/>
          <w:sz w:val="24"/>
          <w:szCs w:val="24"/>
          <w:u w:val="single" w:color="000000"/>
        </w:rPr>
        <w:t>ts</w:t>
      </w:r>
    </w:p>
    <w:p w14:paraId="61490AC0" w14:textId="592CE3F9" w:rsidR="00EB17C6" w:rsidRPr="00EB17C6" w:rsidRDefault="00EB17C6" w:rsidP="00011F99">
      <w:pPr>
        <w:ind w:right="257"/>
        <w:rPr>
          <w:rFonts w:asciiTheme="minorHAnsi" w:eastAsia="Calibri" w:hAnsiTheme="minorHAnsi" w:cstheme="minorHAnsi"/>
          <w:sz w:val="24"/>
          <w:szCs w:val="24"/>
        </w:rPr>
      </w:pPr>
    </w:p>
    <w:p w14:paraId="63A61524" w14:textId="018872A6" w:rsidR="0060430C" w:rsidRDefault="00011F99" w:rsidP="0060430C">
      <w:pPr>
        <w:ind w:left="820" w:right="257" w:hanging="360"/>
        <w:rPr>
          <w:rFonts w:asciiTheme="minorHAnsi" w:hAnsiTheme="minorHAnsi" w:cstheme="minorHAnsi"/>
          <w:sz w:val="24"/>
          <w:szCs w:val="24"/>
        </w:rPr>
      </w:pPr>
      <w:r>
        <w:rPr>
          <w:rFonts w:asciiTheme="minorHAnsi" w:eastAsia="Calibri" w:hAnsiTheme="minorHAnsi" w:cstheme="minorHAnsi"/>
          <w:spacing w:val="1"/>
          <w:sz w:val="24"/>
          <w:szCs w:val="24"/>
        </w:rPr>
        <w:t>1</w:t>
      </w:r>
      <w:r w:rsidR="00EB17C6" w:rsidRPr="00EB17C6">
        <w:rPr>
          <w:rFonts w:asciiTheme="minorHAnsi" w:eastAsia="Calibri" w:hAnsiTheme="minorHAnsi" w:cstheme="minorHAnsi"/>
          <w:sz w:val="24"/>
          <w:szCs w:val="24"/>
        </w:rPr>
        <w:t xml:space="preserve">.  </w:t>
      </w:r>
      <w:r w:rsidR="00EB17C6" w:rsidRPr="00EB17C6">
        <w:rPr>
          <w:rFonts w:asciiTheme="minorHAnsi" w:eastAsia="Calibri" w:hAnsiTheme="minorHAnsi" w:cstheme="minorHAnsi"/>
          <w:spacing w:val="15"/>
          <w:sz w:val="24"/>
          <w:szCs w:val="24"/>
        </w:rPr>
        <w:t xml:space="preserve"> </w:t>
      </w:r>
      <w:bookmarkStart w:id="2" w:name="_Hlk502851552"/>
      <w:r w:rsidR="00EB17C6" w:rsidRPr="00EB17C6">
        <w:rPr>
          <w:rFonts w:asciiTheme="minorHAnsi" w:eastAsia="Calibri" w:hAnsiTheme="minorHAnsi" w:cstheme="minorHAnsi"/>
          <w:sz w:val="24"/>
          <w:szCs w:val="24"/>
        </w:rPr>
        <w:t xml:space="preserve">US department of Health and Human Services Centers for Disease Control and Prevention. </w:t>
      </w:r>
      <w:r w:rsidR="0060430C">
        <w:rPr>
          <w:rFonts w:asciiTheme="minorHAnsi" w:eastAsia="Calibri" w:hAnsiTheme="minorHAnsi" w:cstheme="minorHAnsi"/>
          <w:sz w:val="24"/>
          <w:szCs w:val="24"/>
        </w:rPr>
        <w:t>HIV Incidence: Estimated Annual Infections in the U.S., 2008-2014 Overall and by Transmission Route. (2017</w:t>
      </w:r>
      <w:r w:rsidR="00EB17C6" w:rsidRPr="00EB17C6">
        <w:rPr>
          <w:rFonts w:asciiTheme="minorHAnsi" w:eastAsia="Calibri" w:hAnsiTheme="minorHAnsi" w:cstheme="minorHAnsi"/>
          <w:sz w:val="24"/>
          <w:szCs w:val="24"/>
        </w:rPr>
        <w:t xml:space="preserve">). Retrieved from: </w:t>
      </w:r>
      <w:r w:rsidR="0060430C" w:rsidRPr="0060430C">
        <w:rPr>
          <w:rFonts w:asciiTheme="minorHAnsi" w:eastAsia="Calibri" w:hAnsiTheme="minorHAnsi" w:cstheme="minorHAnsi"/>
          <w:sz w:val="24"/>
          <w:szCs w:val="24"/>
        </w:rPr>
        <w:t>https://www.cdc.gov/nchhstp/newsroom/docs/factsheets/hiv-incidence-fact-sheet_508.pdf</w:t>
      </w:r>
      <w:r w:rsidR="00EB17C6" w:rsidRPr="00EB17C6">
        <w:rPr>
          <w:rFonts w:asciiTheme="minorHAnsi" w:hAnsiTheme="minorHAnsi" w:cstheme="minorHAnsi"/>
          <w:sz w:val="24"/>
          <w:szCs w:val="24"/>
        </w:rPr>
        <w:tab/>
      </w:r>
    </w:p>
    <w:p w14:paraId="6DD8D588" w14:textId="72E427C2" w:rsidR="00EB17C6" w:rsidRPr="00EB17C6" w:rsidRDefault="00EB17C6" w:rsidP="00011F99">
      <w:pPr>
        <w:ind w:left="1440" w:right="257"/>
        <w:rPr>
          <w:rFonts w:asciiTheme="minorHAnsi" w:eastAsia="Calibri" w:hAnsiTheme="minorHAnsi" w:cstheme="minorHAnsi"/>
          <w:sz w:val="24"/>
          <w:szCs w:val="24"/>
        </w:rPr>
      </w:pPr>
      <w:r w:rsidRPr="00EB17C6">
        <w:rPr>
          <w:rFonts w:asciiTheme="minorHAnsi" w:hAnsiTheme="minorHAnsi" w:cstheme="minorHAnsi"/>
          <w:sz w:val="24"/>
          <w:szCs w:val="24"/>
        </w:rPr>
        <w:t>T</w:t>
      </w:r>
      <w:r w:rsidRPr="00EB17C6">
        <w:rPr>
          <w:rFonts w:asciiTheme="minorHAnsi" w:eastAsia="Calibri" w:hAnsiTheme="minorHAnsi" w:cstheme="minorHAnsi"/>
          <w:sz w:val="24"/>
          <w:szCs w:val="24"/>
        </w:rPr>
        <w:t xml:space="preserve">he </w:t>
      </w:r>
      <w:r w:rsidR="00011F99">
        <w:rPr>
          <w:rFonts w:asciiTheme="minorHAnsi" w:eastAsia="Calibri" w:hAnsiTheme="minorHAnsi" w:cstheme="minorHAnsi"/>
          <w:sz w:val="24"/>
          <w:szCs w:val="24"/>
        </w:rPr>
        <w:t>fact sheet</w:t>
      </w:r>
      <w:r w:rsidRPr="00EB17C6">
        <w:rPr>
          <w:rFonts w:asciiTheme="minorHAnsi" w:eastAsia="Calibri" w:hAnsiTheme="minorHAnsi" w:cstheme="minorHAnsi"/>
          <w:sz w:val="24"/>
          <w:szCs w:val="24"/>
        </w:rPr>
        <w:t xml:space="preserve"> offers </w:t>
      </w:r>
      <w:r w:rsidR="00011F99">
        <w:rPr>
          <w:rFonts w:asciiTheme="minorHAnsi" w:eastAsia="Calibri" w:hAnsiTheme="minorHAnsi" w:cstheme="minorHAnsi"/>
          <w:sz w:val="24"/>
          <w:szCs w:val="24"/>
        </w:rPr>
        <w:t>information on the estimated annual infections of HIV in the U.S. from the period of 2008-2014, with a focus on gay and bisexual men.</w:t>
      </w:r>
    </w:p>
    <w:bookmarkEnd w:id="2"/>
    <w:p w14:paraId="13660D92" w14:textId="3B07455F" w:rsidR="00011F99" w:rsidRPr="00011F99" w:rsidRDefault="006D1B11" w:rsidP="00011F99">
      <w:pPr>
        <w:ind w:left="820" w:right="257" w:hanging="360"/>
        <w:rPr>
          <w:rFonts w:asciiTheme="minorHAnsi" w:eastAsia="Calibri" w:hAnsiTheme="minorHAnsi" w:cs="Calibri"/>
          <w:sz w:val="24"/>
          <w:szCs w:val="24"/>
        </w:rPr>
      </w:pPr>
      <w:r>
        <w:rPr>
          <w:rFonts w:asciiTheme="minorHAnsi" w:eastAsia="Calibri" w:hAnsiTheme="minorHAnsi" w:cs="Calibri"/>
          <w:spacing w:val="1"/>
          <w:sz w:val="24"/>
          <w:szCs w:val="24"/>
        </w:rPr>
        <w:t>2</w:t>
      </w:r>
      <w:r w:rsidR="00EB17C6" w:rsidRPr="00EB17C6">
        <w:rPr>
          <w:rFonts w:asciiTheme="minorHAnsi" w:eastAsia="Calibri" w:hAnsiTheme="minorHAnsi" w:cs="Calibri"/>
          <w:sz w:val="24"/>
          <w:szCs w:val="24"/>
        </w:rPr>
        <w:t xml:space="preserve">.  </w:t>
      </w:r>
      <w:r w:rsidR="00EB17C6" w:rsidRPr="00EB17C6">
        <w:rPr>
          <w:rFonts w:asciiTheme="minorHAnsi" w:eastAsia="Calibri" w:hAnsiTheme="minorHAnsi" w:cs="Calibri"/>
          <w:spacing w:val="15"/>
          <w:sz w:val="24"/>
          <w:szCs w:val="24"/>
        </w:rPr>
        <w:t xml:space="preserve"> </w:t>
      </w:r>
      <w:r w:rsidR="00011F99" w:rsidRPr="00011F99">
        <w:rPr>
          <w:rFonts w:asciiTheme="minorHAnsi" w:eastAsia="Calibri" w:hAnsiTheme="minorHAnsi" w:cs="Calibri"/>
          <w:sz w:val="24"/>
          <w:szCs w:val="24"/>
        </w:rPr>
        <w:t>US department of Health and Human Services Centers for Disease Control and Prevention</w:t>
      </w:r>
      <w:r w:rsidR="00011F99" w:rsidRPr="006D1B11">
        <w:rPr>
          <w:rFonts w:asciiTheme="minorHAnsi" w:eastAsia="Calibri" w:hAnsiTheme="minorHAnsi" w:cs="Calibri"/>
          <w:sz w:val="24"/>
          <w:szCs w:val="24"/>
        </w:rPr>
        <w:t xml:space="preserve">. </w:t>
      </w:r>
      <w:r w:rsidRPr="006D1B11">
        <w:rPr>
          <w:rFonts w:asciiTheme="minorHAnsi" w:eastAsia="Calibri" w:hAnsiTheme="minorHAnsi" w:cs="Calibri"/>
          <w:sz w:val="24"/>
          <w:szCs w:val="24"/>
        </w:rPr>
        <w:t>HIV Surveillance Report 2014. Vol</w:t>
      </w:r>
      <w:r w:rsidR="00011F99" w:rsidRPr="006D1B11">
        <w:rPr>
          <w:rFonts w:asciiTheme="minorHAnsi" w:eastAsia="Calibri" w:hAnsiTheme="minorHAnsi" w:cs="Calibri"/>
          <w:sz w:val="24"/>
          <w:szCs w:val="24"/>
        </w:rPr>
        <w:t xml:space="preserve"> </w:t>
      </w:r>
      <w:r w:rsidR="00011F99">
        <w:rPr>
          <w:rFonts w:asciiTheme="minorHAnsi" w:eastAsia="Calibri" w:hAnsiTheme="minorHAnsi" w:cs="Calibri"/>
          <w:sz w:val="24"/>
          <w:szCs w:val="24"/>
        </w:rPr>
        <w:t>26.</w:t>
      </w:r>
      <w:r>
        <w:rPr>
          <w:rFonts w:asciiTheme="minorHAnsi" w:eastAsia="Calibri" w:hAnsiTheme="minorHAnsi" w:cs="Calibri"/>
          <w:sz w:val="24"/>
          <w:szCs w:val="24"/>
        </w:rPr>
        <w:t xml:space="preserve"> </w:t>
      </w:r>
      <w:r w:rsidR="00011F99" w:rsidRPr="00011F99">
        <w:rPr>
          <w:rFonts w:asciiTheme="minorHAnsi" w:eastAsia="Calibri" w:hAnsiTheme="minorHAnsi" w:cs="Calibri"/>
          <w:sz w:val="24"/>
          <w:szCs w:val="24"/>
        </w:rPr>
        <w:t>Retrieved from: https://www.cdc.gov/nchhstp/newsroom/docs/factsheets/hiv-incidence-fact-sheet_508.pdf</w:t>
      </w:r>
      <w:r w:rsidR="00011F99" w:rsidRPr="00011F99">
        <w:rPr>
          <w:rFonts w:asciiTheme="minorHAnsi" w:eastAsia="Calibri" w:hAnsiTheme="minorHAnsi" w:cs="Calibri"/>
          <w:sz w:val="24"/>
          <w:szCs w:val="24"/>
        </w:rPr>
        <w:tab/>
      </w:r>
    </w:p>
    <w:p w14:paraId="10F89F72" w14:textId="3DDAF1AE" w:rsidR="00EB17C6" w:rsidRPr="006D1B11" w:rsidRDefault="006D1B11" w:rsidP="006D1B11">
      <w:pPr>
        <w:ind w:left="1440" w:right="257"/>
        <w:rPr>
          <w:rFonts w:asciiTheme="minorHAnsi" w:eastAsia="Calibri" w:hAnsiTheme="minorHAnsi" w:cs="Calibri"/>
          <w:spacing w:val="1"/>
          <w:sz w:val="24"/>
          <w:szCs w:val="24"/>
        </w:rPr>
      </w:pPr>
      <w:r w:rsidRPr="006D1B11">
        <w:rPr>
          <w:rFonts w:asciiTheme="minorHAnsi" w:eastAsia="Calibri" w:hAnsiTheme="minorHAnsi" w:cs="Calibri"/>
          <w:sz w:val="24"/>
          <w:szCs w:val="24"/>
        </w:rPr>
        <w:t>This report includes case report data from 50 states, the District of Columbia, and 6 U.S. dependent areas (American Samoa, Guam, the Northern Mariana Islands, Puerto Rico, the Republic of Palau, and the U.S. Virgin Islands) in which laws or regulations require confidential reporting to the jurisdiction (not to CDC), by name, for adults, adolescents, and children with confi</w:t>
      </w:r>
      <w:r>
        <w:rPr>
          <w:rFonts w:asciiTheme="minorHAnsi" w:eastAsia="Calibri" w:hAnsiTheme="minorHAnsi" w:cs="Calibri"/>
          <w:sz w:val="24"/>
          <w:szCs w:val="24"/>
        </w:rPr>
        <w:t>rmed diagnoses of HIV infection</w:t>
      </w:r>
      <w:r w:rsidR="00011F99" w:rsidRPr="00011F99">
        <w:rPr>
          <w:rFonts w:asciiTheme="minorHAnsi" w:eastAsia="Calibri" w:hAnsiTheme="minorHAnsi" w:cs="Calibri"/>
          <w:sz w:val="24"/>
          <w:szCs w:val="24"/>
        </w:rPr>
        <w:t>.</w:t>
      </w:r>
      <w:r w:rsidR="00011F99" w:rsidRPr="00011F99">
        <w:rPr>
          <w:rFonts w:asciiTheme="minorHAnsi" w:eastAsia="Calibri" w:hAnsiTheme="minorHAnsi" w:cs="Calibri"/>
          <w:spacing w:val="1"/>
          <w:sz w:val="24"/>
          <w:szCs w:val="24"/>
        </w:rPr>
        <w:t xml:space="preserve"> </w:t>
      </w:r>
      <w:r w:rsidR="00EB17C6" w:rsidRPr="00EB17C6">
        <w:rPr>
          <w:rFonts w:asciiTheme="minorHAnsi" w:eastAsia="Calibri" w:hAnsiTheme="minorHAnsi" w:cs="Calibri"/>
          <w:sz w:val="24"/>
          <w:szCs w:val="24"/>
        </w:rPr>
        <w:t xml:space="preserve"> </w:t>
      </w:r>
    </w:p>
    <w:p w14:paraId="1CB9391A" w14:textId="5A090449" w:rsidR="00E47F07" w:rsidRPr="00011F99" w:rsidRDefault="004532B9" w:rsidP="00E47F07">
      <w:pPr>
        <w:ind w:left="820" w:right="257" w:hanging="360"/>
        <w:rPr>
          <w:rFonts w:asciiTheme="minorHAnsi" w:eastAsia="Calibri" w:hAnsiTheme="minorHAnsi" w:cs="Calibri"/>
          <w:sz w:val="24"/>
          <w:szCs w:val="24"/>
        </w:rPr>
      </w:pPr>
      <w:r>
        <w:rPr>
          <w:rFonts w:asciiTheme="minorHAnsi" w:eastAsia="Calibri" w:hAnsiTheme="minorHAnsi" w:cs="Calibri"/>
          <w:spacing w:val="1"/>
          <w:sz w:val="24"/>
          <w:szCs w:val="24"/>
        </w:rPr>
        <w:t>3</w:t>
      </w:r>
      <w:r w:rsidR="00E47F07" w:rsidRPr="00EB17C6">
        <w:rPr>
          <w:rFonts w:asciiTheme="minorHAnsi" w:eastAsia="Calibri" w:hAnsiTheme="minorHAnsi" w:cs="Calibri"/>
          <w:sz w:val="24"/>
          <w:szCs w:val="24"/>
        </w:rPr>
        <w:t xml:space="preserve">.  </w:t>
      </w:r>
      <w:r w:rsidR="00E47F07" w:rsidRPr="00EB17C6">
        <w:rPr>
          <w:rFonts w:asciiTheme="minorHAnsi" w:eastAsia="Calibri" w:hAnsiTheme="minorHAnsi" w:cs="Calibri"/>
          <w:spacing w:val="15"/>
          <w:sz w:val="24"/>
          <w:szCs w:val="24"/>
        </w:rPr>
        <w:t xml:space="preserve"> </w:t>
      </w:r>
      <w:r w:rsidR="00E47F07" w:rsidRPr="00011F99">
        <w:rPr>
          <w:rFonts w:asciiTheme="minorHAnsi" w:eastAsia="Calibri" w:hAnsiTheme="minorHAnsi" w:cs="Calibri"/>
          <w:sz w:val="24"/>
          <w:szCs w:val="24"/>
        </w:rPr>
        <w:t>US department of Health and Human Services Centers for Disease Control and Prevention</w:t>
      </w:r>
      <w:r w:rsidR="00E47F07" w:rsidRPr="006D1B11">
        <w:rPr>
          <w:rFonts w:asciiTheme="minorHAnsi" w:eastAsia="Calibri" w:hAnsiTheme="minorHAnsi" w:cs="Calibri"/>
          <w:sz w:val="24"/>
          <w:szCs w:val="24"/>
        </w:rPr>
        <w:t>.</w:t>
      </w:r>
      <w:r w:rsidR="00607CFF">
        <w:rPr>
          <w:rFonts w:asciiTheme="minorHAnsi" w:eastAsia="Calibri" w:hAnsiTheme="minorHAnsi" w:cs="Calibri"/>
          <w:sz w:val="24"/>
          <w:szCs w:val="24"/>
        </w:rPr>
        <w:t xml:space="preserve"> (2014).</w:t>
      </w:r>
      <w:r w:rsidR="00E47F07" w:rsidRPr="006D1B11">
        <w:rPr>
          <w:rFonts w:asciiTheme="minorHAnsi" w:eastAsia="Calibri" w:hAnsiTheme="minorHAnsi" w:cs="Calibri"/>
          <w:sz w:val="24"/>
          <w:szCs w:val="24"/>
        </w:rPr>
        <w:t xml:space="preserve"> </w:t>
      </w:r>
      <w:r w:rsidR="001F2438">
        <w:rPr>
          <w:rFonts w:asciiTheme="minorHAnsi" w:eastAsia="Calibri" w:hAnsiTheme="minorHAnsi" w:cs="Calibri"/>
          <w:sz w:val="24"/>
          <w:szCs w:val="24"/>
        </w:rPr>
        <w:t>Preex</w:t>
      </w:r>
      <w:r w:rsidR="00607CFF">
        <w:rPr>
          <w:rFonts w:asciiTheme="minorHAnsi" w:eastAsia="Calibri" w:hAnsiTheme="minorHAnsi" w:cs="Calibri"/>
          <w:sz w:val="24"/>
          <w:szCs w:val="24"/>
        </w:rPr>
        <w:t>posure Prophylaxis for the Prevention of HIV Infection in the United States – 2014, A Clinical Practice Guide</w:t>
      </w:r>
      <w:r w:rsidR="00E47F07" w:rsidRPr="006D1B11">
        <w:rPr>
          <w:rFonts w:asciiTheme="minorHAnsi" w:eastAsia="Calibri" w:hAnsiTheme="minorHAnsi" w:cs="Calibri"/>
          <w:sz w:val="24"/>
          <w:szCs w:val="24"/>
        </w:rPr>
        <w:t>.</w:t>
      </w:r>
      <w:r w:rsidR="00607CFF">
        <w:rPr>
          <w:rFonts w:asciiTheme="minorHAnsi" w:eastAsia="Calibri" w:hAnsiTheme="minorHAnsi" w:cs="Calibri"/>
          <w:sz w:val="24"/>
          <w:szCs w:val="24"/>
        </w:rPr>
        <w:t>”</w:t>
      </w:r>
      <w:r w:rsidR="00E47F07" w:rsidRPr="006D1B11">
        <w:rPr>
          <w:rFonts w:asciiTheme="minorHAnsi" w:eastAsia="Calibri" w:hAnsiTheme="minorHAnsi" w:cs="Calibri"/>
          <w:sz w:val="24"/>
          <w:szCs w:val="24"/>
        </w:rPr>
        <w:t xml:space="preserve"> </w:t>
      </w:r>
      <w:r w:rsidR="00E47F07" w:rsidRPr="00011F99">
        <w:rPr>
          <w:rFonts w:asciiTheme="minorHAnsi" w:eastAsia="Calibri" w:hAnsiTheme="minorHAnsi" w:cs="Calibri"/>
          <w:sz w:val="24"/>
          <w:szCs w:val="24"/>
        </w:rPr>
        <w:t xml:space="preserve">Retrieved from: </w:t>
      </w:r>
      <w:r w:rsidR="00607CFF" w:rsidRPr="00607CFF">
        <w:rPr>
          <w:rFonts w:asciiTheme="minorHAnsi" w:eastAsia="Calibri" w:hAnsiTheme="minorHAnsi" w:cs="Calibri"/>
          <w:sz w:val="24"/>
          <w:szCs w:val="24"/>
        </w:rPr>
        <w:t>https://www.cdc.gov/hiv/pdf/prepguidelines2014.pdf</w:t>
      </w:r>
      <w:r w:rsidR="00E47F07" w:rsidRPr="00011F99">
        <w:rPr>
          <w:rFonts w:asciiTheme="minorHAnsi" w:eastAsia="Calibri" w:hAnsiTheme="minorHAnsi" w:cs="Calibri"/>
          <w:sz w:val="24"/>
          <w:szCs w:val="24"/>
        </w:rPr>
        <w:tab/>
      </w:r>
    </w:p>
    <w:p w14:paraId="08D069F3" w14:textId="37451CB1" w:rsidR="00E47F07" w:rsidRPr="006D1B11" w:rsidRDefault="00607CFF" w:rsidP="00E47F07">
      <w:pPr>
        <w:ind w:left="1440" w:right="257"/>
        <w:rPr>
          <w:rFonts w:asciiTheme="minorHAnsi" w:eastAsia="Calibri" w:hAnsiTheme="minorHAnsi" w:cs="Calibri"/>
          <w:spacing w:val="1"/>
          <w:sz w:val="24"/>
          <w:szCs w:val="24"/>
        </w:rPr>
      </w:pPr>
      <w:r w:rsidRPr="00607CFF">
        <w:rPr>
          <w:rFonts w:asciiTheme="minorHAnsi" w:eastAsia="Calibri" w:hAnsiTheme="minorHAnsi" w:cs="Calibri"/>
          <w:sz w:val="24"/>
          <w:szCs w:val="24"/>
        </w:rPr>
        <w:t xml:space="preserve">This publication provides a comprehensive clinical practice guideline for the use of </w:t>
      </w:r>
      <w:proofErr w:type="spellStart"/>
      <w:r w:rsidRPr="00607CFF">
        <w:rPr>
          <w:rFonts w:asciiTheme="minorHAnsi" w:eastAsia="Calibri" w:hAnsiTheme="minorHAnsi" w:cs="Calibri"/>
          <w:sz w:val="24"/>
          <w:szCs w:val="24"/>
        </w:rPr>
        <w:t>PrEP</w:t>
      </w:r>
      <w:proofErr w:type="spellEnd"/>
      <w:r w:rsidRPr="00607CFF">
        <w:rPr>
          <w:rFonts w:asciiTheme="minorHAnsi" w:eastAsia="Calibri" w:hAnsiTheme="minorHAnsi" w:cs="Calibri"/>
          <w:sz w:val="24"/>
          <w:szCs w:val="24"/>
        </w:rPr>
        <w:t xml:space="preserve"> for the prevention of HIV infection in the United States. It incorporates and extends information provided in interim</w:t>
      </w:r>
      <w:r>
        <w:rPr>
          <w:rFonts w:asciiTheme="minorHAnsi" w:eastAsia="Calibri" w:hAnsiTheme="minorHAnsi" w:cs="Calibri"/>
          <w:sz w:val="24"/>
          <w:szCs w:val="24"/>
        </w:rPr>
        <w:t xml:space="preserve"> guidance for </w:t>
      </w:r>
      <w:proofErr w:type="spellStart"/>
      <w:r>
        <w:rPr>
          <w:rFonts w:asciiTheme="minorHAnsi" w:eastAsia="Calibri" w:hAnsiTheme="minorHAnsi" w:cs="Calibri"/>
          <w:sz w:val="24"/>
          <w:szCs w:val="24"/>
        </w:rPr>
        <w:t>PrEP</w:t>
      </w:r>
      <w:proofErr w:type="spellEnd"/>
      <w:r>
        <w:rPr>
          <w:rFonts w:asciiTheme="minorHAnsi" w:eastAsia="Calibri" w:hAnsiTheme="minorHAnsi" w:cs="Calibri"/>
          <w:sz w:val="24"/>
          <w:szCs w:val="24"/>
        </w:rPr>
        <w:t xml:space="preserve"> use with MSM</w:t>
      </w:r>
      <w:r w:rsidRPr="00607CFF">
        <w:rPr>
          <w:rFonts w:asciiTheme="minorHAnsi" w:eastAsia="Calibri" w:hAnsiTheme="minorHAnsi" w:cs="Calibri"/>
          <w:sz w:val="24"/>
          <w:szCs w:val="24"/>
        </w:rPr>
        <w:t>, wit</w:t>
      </w:r>
      <w:r>
        <w:rPr>
          <w:rFonts w:asciiTheme="minorHAnsi" w:eastAsia="Calibri" w:hAnsiTheme="minorHAnsi" w:cs="Calibri"/>
          <w:sz w:val="24"/>
          <w:szCs w:val="24"/>
        </w:rPr>
        <w:t>h heterosexually active adults</w:t>
      </w:r>
      <w:r w:rsidRPr="00607CFF">
        <w:rPr>
          <w:rFonts w:asciiTheme="minorHAnsi" w:eastAsia="Calibri" w:hAnsiTheme="minorHAnsi" w:cs="Calibri"/>
          <w:sz w:val="24"/>
          <w:szCs w:val="24"/>
        </w:rPr>
        <w:t>, and with IDU (also called perso</w:t>
      </w:r>
      <w:r>
        <w:rPr>
          <w:rFonts w:asciiTheme="minorHAnsi" w:eastAsia="Calibri" w:hAnsiTheme="minorHAnsi" w:cs="Calibri"/>
          <w:sz w:val="24"/>
          <w:szCs w:val="24"/>
        </w:rPr>
        <w:t>ns who injection drugs [PWID])</w:t>
      </w:r>
      <w:r w:rsidR="00E47F07" w:rsidRPr="00011F99">
        <w:rPr>
          <w:rFonts w:asciiTheme="minorHAnsi" w:eastAsia="Calibri" w:hAnsiTheme="minorHAnsi" w:cs="Calibri"/>
          <w:sz w:val="24"/>
          <w:szCs w:val="24"/>
        </w:rPr>
        <w:t>.</w:t>
      </w:r>
      <w:r w:rsidR="00E47F07" w:rsidRPr="00011F99">
        <w:rPr>
          <w:rFonts w:asciiTheme="minorHAnsi" w:eastAsia="Calibri" w:hAnsiTheme="minorHAnsi" w:cs="Calibri"/>
          <w:spacing w:val="1"/>
          <w:sz w:val="24"/>
          <w:szCs w:val="24"/>
        </w:rPr>
        <w:t xml:space="preserve"> </w:t>
      </w:r>
      <w:r w:rsidR="00E47F07" w:rsidRPr="00EB17C6">
        <w:rPr>
          <w:rFonts w:asciiTheme="minorHAnsi" w:eastAsia="Calibri" w:hAnsiTheme="minorHAnsi" w:cs="Calibri"/>
          <w:sz w:val="24"/>
          <w:szCs w:val="24"/>
        </w:rPr>
        <w:t xml:space="preserve"> </w:t>
      </w:r>
    </w:p>
    <w:p w14:paraId="2D099C13" w14:textId="77777777" w:rsidR="00EB17C6" w:rsidRPr="00EB17C6" w:rsidRDefault="00EB17C6" w:rsidP="00EB17C6">
      <w:pPr>
        <w:spacing w:before="1"/>
        <w:rPr>
          <w:rFonts w:asciiTheme="minorHAnsi" w:eastAsia="Calibri" w:hAnsiTheme="minorHAnsi" w:cs="Calibri"/>
          <w:sz w:val="24"/>
          <w:szCs w:val="24"/>
        </w:rPr>
      </w:pPr>
    </w:p>
    <w:p w14:paraId="64B55F90" w14:textId="26E282F6" w:rsidR="00EB17C6" w:rsidRPr="00EB17C6" w:rsidRDefault="000844FF" w:rsidP="00EB17C6">
      <w:pPr>
        <w:ind w:left="100"/>
        <w:rPr>
          <w:rFonts w:asciiTheme="minorHAnsi" w:eastAsia="Calibri" w:hAnsiTheme="minorHAnsi" w:cs="Calibri"/>
          <w:b/>
          <w:spacing w:val="-1"/>
          <w:sz w:val="24"/>
          <w:szCs w:val="24"/>
          <w:u w:val="single" w:color="000000"/>
        </w:rPr>
      </w:pPr>
      <w:r>
        <w:rPr>
          <w:rFonts w:asciiTheme="minorHAnsi" w:eastAsia="Calibri" w:hAnsiTheme="minorHAnsi" w:cs="Calibri"/>
          <w:b/>
          <w:spacing w:val="-1"/>
          <w:sz w:val="24"/>
          <w:szCs w:val="24"/>
          <w:u w:val="single" w:color="000000"/>
        </w:rPr>
        <w:t>Presentations</w:t>
      </w:r>
    </w:p>
    <w:p w14:paraId="1D200F46" w14:textId="77777777" w:rsidR="00EB17C6" w:rsidRPr="00EB17C6" w:rsidRDefault="00EB17C6" w:rsidP="00EB17C6">
      <w:pPr>
        <w:ind w:left="820" w:right="257" w:hanging="360"/>
        <w:rPr>
          <w:rFonts w:asciiTheme="minorHAnsi" w:eastAsia="Calibri" w:hAnsiTheme="minorHAnsi" w:cs="Calibri"/>
          <w:spacing w:val="1"/>
          <w:sz w:val="24"/>
          <w:szCs w:val="24"/>
        </w:rPr>
      </w:pPr>
    </w:p>
    <w:p w14:paraId="5AC6E6A4" w14:textId="050CEB7B" w:rsidR="000844FF" w:rsidRPr="006635C2" w:rsidRDefault="000844FF" w:rsidP="000844FF">
      <w:pPr>
        <w:ind w:left="820" w:right="257" w:hanging="360"/>
        <w:rPr>
          <w:rFonts w:asciiTheme="minorHAnsi" w:eastAsia="Calibri" w:hAnsiTheme="minorHAnsi" w:cs="Calibri"/>
          <w:sz w:val="24"/>
          <w:szCs w:val="24"/>
        </w:rPr>
      </w:pPr>
      <w:r w:rsidRPr="006635C2">
        <w:rPr>
          <w:rFonts w:asciiTheme="minorHAnsi" w:eastAsia="Calibri" w:hAnsiTheme="minorHAnsi" w:cs="Calibri"/>
          <w:spacing w:val="1"/>
          <w:sz w:val="24"/>
          <w:szCs w:val="24"/>
        </w:rPr>
        <w:t>1</w:t>
      </w:r>
      <w:r w:rsidRPr="006635C2">
        <w:rPr>
          <w:rFonts w:asciiTheme="minorHAnsi" w:eastAsia="Calibri" w:hAnsiTheme="minorHAnsi" w:cs="Calibri"/>
          <w:sz w:val="24"/>
          <w:szCs w:val="24"/>
        </w:rPr>
        <w:t>. Wheeler, D.P., Fi</w:t>
      </w:r>
      <w:r>
        <w:rPr>
          <w:rFonts w:asciiTheme="minorHAnsi" w:eastAsia="Calibri" w:hAnsiTheme="minorHAnsi" w:cs="Calibri"/>
          <w:sz w:val="24"/>
          <w:szCs w:val="24"/>
        </w:rPr>
        <w:t>elds, S., Nelson, L.E., Wilton, L.</w:t>
      </w:r>
      <w:r w:rsidRPr="006635C2">
        <w:rPr>
          <w:rFonts w:asciiTheme="minorHAnsi" w:eastAsia="Calibri" w:hAnsiTheme="minorHAnsi" w:cs="Calibri"/>
          <w:sz w:val="24"/>
          <w:szCs w:val="24"/>
        </w:rPr>
        <w:t>, et al. (201</w:t>
      </w:r>
      <w:r>
        <w:rPr>
          <w:rFonts w:asciiTheme="minorHAnsi" w:eastAsia="Calibri" w:hAnsiTheme="minorHAnsi" w:cs="Calibri"/>
          <w:sz w:val="24"/>
          <w:szCs w:val="24"/>
        </w:rPr>
        <w:t>6</w:t>
      </w:r>
      <w:r w:rsidRPr="006635C2">
        <w:rPr>
          <w:rFonts w:asciiTheme="minorHAnsi" w:eastAsia="Calibri" w:hAnsiTheme="minorHAnsi" w:cs="Calibri"/>
          <w:sz w:val="24"/>
          <w:szCs w:val="24"/>
        </w:rPr>
        <w:t xml:space="preserve">). </w:t>
      </w:r>
      <w:r>
        <w:rPr>
          <w:rFonts w:asciiTheme="minorHAnsi" w:eastAsia="Calibri" w:hAnsiTheme="minorHAnsi" w:cs="Calibri"/>
          <w:sz w:val="24"/>
          <w:szCs w:val="24"/>
        </w:rPr>
        <w:t xml:space="preserve">HPTN 073: </w:t>
      </w:r>
      <w:proofErr w:type="spellStart"/>
      <w:r>
        <w:rPr>
          <w:rFonts w:asciiTheme="minorHAnsi" w:eastAsia="Calibri" w:hAnsiTheme="minorHAnsi" w:cs="Calibri"/>
          <w:sz w:val="24"/>
          <w:szCs w:val="24"/>
        </w:rPr>
        <w:t>PrEP</w:t>
      </w:r>
      <w:proofErr w:type="spellEnd"/>
      <w:r>
        <w:rPr>
          <w:rFonts w:asciiTheme="minorHAnsi" w:eastAsia="Calibri" w:hAnsiTheme="minorHAnsi" w:cs="Calibri"/>
          <w:sz w:val="24"/>
          <w:szCs w:val="24"/>
        </w:rPr>
        <w:t xml:space="preserve"> Uptake and Use by Black Men Who Have Sex </w:t>
      </w:r>
      <w:proofErr w:type="gramStart"/>
      <w:r>
        <w:rPr>
          <w:rFonts w:asciiTheme="minorHAnsi" w:eastAsia="Calibri" w:hAnsiTheme="minorHAnsi" w:cs="Calibri"/>
          <w:sz w:val="24"/>
          <w:szCs w:val="24"/>
        </w:rPr>
        <w:t>With</w:t>
      </w:r>
      <w:proofErr w:type="gramEnd"/>
      <w:r>
        <w:rPr>
          <w:rFonts w:asciiTheme="minorHAnsi" w:eastAsia="Calibri" w:hAnsiTheme="minorHAnsi" w:cs="Calibri"/>
          <w:sz w:val="24"/>
          <w:szCs w:val="24"/>
        </w:rPr>
        <w:t xml:space="preserve"> Men in 3 US Cities</w:t>
      </w:r>
      <w:r w:rsidRPr="006635C2">
        <w:rPr>
          <w:rFonts w:asciiTheme="minorHAnsi" w:eastAsia="Calibri" w:hAnsiTheme="minorHAnsi" w:cstheme="minorHAnsi"/>
          <w:sz w:val="24"/>
          <w:szCs w:val="24"/>
        </w:rPr>
        <w:t>. 23</w:t>
      </w:r>
      <w:r w:rsidRPr="006635C2">
        <w:rPr>
          <w:rFonts w:asciiTheme="minorHAnsi" w:eastAsia="Calibri" w:hAnsiTheme="minorHAnsi" w:cstheme="minorHAnsi"/>
          <w:sz w:val="24"/>
          <w:szCs w:val="24"/>
          <w:vertAlign w:val="superscript"/>
        </w:rPr>
        <w:t>rd</w:t>
      </w:r>
      <w:r w:rsidRPr="006635C2">
        <w:rPr>
          <w:rFonts w:asciiTheme="minorHAnsi" w:eastAsia="Calibri" w:hAnsiTheme="minorHAnsi" w:cstheme="minorHAnsi"/>
          <w:sz w:val="24"/>
          <w:szCs w:val="24"/>
        </w:rPr>
        <w:t xml:space="preserve"> Conference on Retroviruses and Opportunistic Infections. </w:t>
      </w:r>
      <w:r>
        <w:rPr>
          <w:rFonts w:asciiTheme="minorHAnsi" w:eastAsia="Calibri" w:hAnsiTheme="minorHAnsi" w:cstheme="minorHAnsi"/>
          <w:sz w:val="24"/>
          <w:szCs w:val="24"/>
        </w:rPr>
        <w:t xml:space="preserve">February 22-25, 2016. Boston, MA. Abstract 883LB. </w:t>
      </w:r>
      <w:r w:rsidRPr="006635C2">
        <w:rPr>
          <w:rFonts w:asciiTheme="minorHAnsi" w:eastAsia="Calibri" w:hAnsiTheme="minorHAnsi" w:cstheme="minorHAnsi"/>
          <w:sz w:val="24"/>
          <w:szCs w:val="24"/>
        </w:rPr>
        <w:t xml:space="preserve"> </w:t>
      </w:r>
    </w:p>
    <w:p w14:paraId="1B8B022A" w14:textId="77777777" w:rsidR="000844FF" w:rsidRPr="00C773F8" w:rsidRDefault="000844FF" w:rsidP="000844FF">
      <w:pPr>
        <w:tabs>
          <w:tab w:val="left" w:pos="1540"/>
        </w:tabs>
        <w:spacing w:before="3" w:line="280" w:lineRule="exact"/>
        <w:ind w:left="1540" w:right="112" w:hanging="360"/>
        <w:jc w:val="both"/>
        <w:rPr>
          <w:rFonts w:asciiTheme="minorHAnsi" w:hAnsiTheme="minorHAnsi" w:cstheme="minorHAnsi"/>
          <w:color w:val="000000"/>
          <w:sz w:val="24"/>
          <w:szCs w:val="24"/>
          <w:shd w:val="clear" w:color="auto" w:fill="FFFFFF"/>
        </w:rPr>
      </w:pPr>
      <w:r w:rsidRPr="006635C2">
        <w:rPr>
          <w:rFonts w:asciiTheme="minorHAnsi" w:hAnsiTheme="minorHAnsi"/>
          <w:sz w:val="24"/>
          <w:szCs w:val="24"/>
        </w:rPr>
        <w:tab/>
      </w:r>
      <w:r w:rsidRPr="00C773F8">
        <w:rPr>
          <w:rFonts w:asciiTheme="minorHAnsi" w:hAnsiTheme="minorHAnsi" w:cstheme="minorHAnsi"/>
          <w:color w:val="000000"/>
          <w:sz w:val="24"/>
          <w:szCs w:val="24"/>
          <w:shd w:val="clear" w:color="auto" w:fill="FFFFFF"/>
        </w:rPr>
        <w:t xml:space="preserve">HIV-uninfected BMSM were enrolled in three U.S. cities (Washington, DC., Los Angeles CA, &amp; Chapel Hill, </w:t>
      </w:r>
      <w:proofErr w:type="gramStart"/>
      <w:r w:rsidRPr="00C773F8">
        <w:rPr>
          <w:rFonts w:asciiTheme="minorHAnsi" w:hAnsiTheme="minorHAnsi" w:cstheme="minorHAnsi"/>
          <w:color w:val="000000"/>
          <w:sz w:val="24"/>
          <w:szCs w:val="24"/>
          <w:shd w:val="clear" w:color="auto" w:fill="FFFFFF"/>
        </w:rPr>
        <w:t>NC)  All</w:t>
      </w:r>
      <w:proofErr w:type="gramEnd"/>
      <w:r w:rsidRPr="00C773F8">
        <w:rPr>
          <w:rFonts w:asciiTheme="minorHAnsi" w:hAnsiTheme="minorHAnsi" w:cstheme="minorHAnsi"/>
          <w:color w:val="000000"/>
          <w:sz w:val="24"/>
          <w:szCs w:val="24"/>
          <w:shd w:val="clear" w:color="auto" w:fill="FFFFFF"/>
        </w:rPr>
        <w:t xml:space="preserve"> participants were offered once daily oral FTC/TDF combined with client-centered care coordination (C4)–a theory-based counseling approach to promote and support </w:t>
      </w:r>
      <w:proofErr w:type="spellStart"/>
      <w:r w:rsidRPr="00C773F8">
        <w:rPr>
          <w:rFonts w:asciiTheme="minorHAnsi" w:hAnsiTheme="minorHAnsi" w:cstheme="minorHAnsi"/>
          <w:color w:val="000000"/>
          <w:sz w:val="24"/>
          <w:szCs w:val="24"/>
          <w:shd w:val="clear" w:color="auto" w:fill="FFFFFF"/>
        </w:rPr>
        <w:t>PrEP</w:t>
      </w:r>
      <w:proofErr w:type="spellEnd"/>
      <w:r w:rsidRPr="00C773F8">
        <w:rPr>
          <w:rFonts w:asciiTheme="minorHAnsi" w:hAnsiTheme="minorHAnsi" w:cstheme="minorHAnsi"/>
          <w:color w:val="000000"/>
          <w:sz w:val="24"/>
          <w:szCs w:val="24"/>
          <w:shd w:val="clear" w:color="auto" w:fill="FFFFFF"/>
        </w:rPr>
        <w:t xml:space="preserve"> use, which combined service referral, linkage and follow-up strategies to assist participants in addressing unmet psychosocial needs. Each participant was offered </w:t>
      </w:r>
      <w:proofErr w:type="spellStart"/>
      <w:r w:rsidRPr="00C773F8">
        <w:rPr>
          <w:rFonts w:asciiTheme="minorHAnsi" w:hAnsiTheme="minorHAnsi" w:cstheme="minorHAnsi"/>
          <w:color w:val="000000"/>
          <w:sz w:val="24"/>
          <w:szCs w:val="24"/>
          <w:shd w:val="clear" w:color="auto" w:fill="FFFFFF"/>
        </w:rPr>
        <w:t>PrEP</w:t>
      </w:r>
      <w:proofErr w:type="spellEnd"/>
      <w:r w:rsidRPr="00C773F8">
        <w:rPr>
          <w:rFonts w:asciiTheme="minorHAnsi" w:hAnsiTheme="minorHAnsi" w:cstheme="minorHAnsi"/>
          <w:color w:val="000000"/>
          <w:sz w:val="24"/>
          <w:szCs w:val="24"/>
          <w:shd w:val="clear" w:color="auto" w:fill="FFFFFF"/>
        </w:rPr>
        <w:t xml:space="preserve"> and fol</w:t>
      </w:r>
      <w:r>
        <w:rPr>
          <w:rFonts w:asciiTheme="minorHAnsi" w:hAnsiTheme="minorHAnsi" w:cstheme="minorHAnsi"/>
          <w:color w:val="000000"/>
          <w:sz w:val="24"/>
          <w:szCs w:val="24"/>
          <w:shd w:val="clear" w:color="auto" w:fill="FFFFFF"/>
        </w:rPr>
        <w:t xml:space="preserve">lowed for a total of 12 months. </w:t>
      </w:r>
      <w:r w:rsidRPr="00C773F8">
        <w:rPr>
          <w:rFonts w:asciiTheme="minorHAnsi" w:hAnsiTheme="minorHAnsi" w:cstheme="minorHAnsi"/>
          <w:color w:val="000000"/>
          <w:sz w:val="24"/>
          <w:szCs w:val="24"/>
          <w:shd w:val="clear" w:color="auto" w:fill="FFFFFF"/>
        </w:rPr>
        <w:t xml:space="preserve">226 BMSM men were recruited; 209 (92%) completed 12 </w:t>
      </w:r>
      <w:proofErr w:type="gramStart"/>
      <w:r w:rsidRPr="00C773F8">
        <w:rPr>
          <w:rFonts w:asciiTheme="minorHAnsi" w:hAnsiTheme="minorHAnsi" w:cstheme="minorHAnsi"/>
          <w:color w:val="000000"/>
          <w:sz w:val="24"/>
          <w:szCs w:val="24"/>
          <w:shd w:val="clear" w:color="auto" w:fill="FFFFFF"/>
        </w:rPr>
        <w:t>month</w:t>
      </w:r>
      <w:proofErr w:type="gramEnd"/>
      <w:r w:rsidRPr="00C773F8">
        <w:rPr>
          <w:rFonts w:asciiTheme="minorHAnsi" w:hAnsiTheme="minorHAnsi" w:cstheme="minorHAnsi"/>
          <w:color w:val="000000"/>
          <w:sz w:val="24"/>
          <w:szCs w:val="24"/>
          <w:shd w:val="clear" w:color="auto" w:fill="FFFFFF"/>
        </w:rPr>
        <w:t xml:space="preserve"> of follow-up. 40% were &lt;25 years, 27% were unemployed, 31% did not have health insurance. The median number of male partners in the prior 3 months was 3 (IQR 1-4), 33% reported a primary partner and 73% casual male partners. </w:t>
      </w:r>
      <w:proofErr w:type="spellStart"/>
      <w:r w:rsidRPr="00C773F8">
        <w:rPr>
          <w:rFonts w:asciiTheme="minorHAnsi" w:hAnsiTheme="minorHAnsi" w:cstheme="minorHAnsi"/>
          <w:color w:val="000000"/>
          <w:sz w:val="24"/>
          <w:szCs w:val="24"/>
          <w:shd w:val="clear" w:color="auto" w:fill="FFFFFF"/>
        </w:rPr>
        <w:t>PrEP</w:t>
      </w:r>
      <w:proofErr w:type="spellEnd"/>
      <w:r w:rsidRPr="00C773F8">
        <w:rPr>
          <w:rFonts w:asciiTheme="minorHAnsi" w:hAnsiTheme="minorHAnsi" w:cstheme="minorHAnsi"/>
          <w:color w:val="000000"/>
          <w:sz w:val="24"/>
          <w:szCs w:val="24"/>
          <w:shd w:val="clear" w:color="auto" w:fill="FFFFFF"/>
        </w:rPr>
        <w:t xml:space="preserve"> was accepted by 178 (79%) of study participants (see Figure); 68% remained on </w:t>
      </w:r>
      <w:proofErr w:type="spellStart"/>
      <w:r w:rsidRPr="00C773F8">
        <w:rPr>
          <w:rFonts w:asciiTheme="minorHAnsi" w:hAnsiTheme="minorHAnsi" w:cstheme="minorHAnsi"/>
          <w:color w:val="000000"/>
          <w:sz w:val="24"/>
          <w:szCs w:val="24"/>
          <w:shd w:val="clear" w:color="auto" w:fill="FFFFFF"/>
        </w:rPr>
        <w:t>PrEP</w:t>
      </w:r>
      <w:proofErr w:type="spellEnd"/>
      <w:r w:rsidRPr="00C773F8">
        <w:rPr>
          <w:rFonts w:asciiTheme="minorHAnsi" w:hAnsiTheme="minorHAnsi" w:cstheme="minorHAnsi"/>
          <w:color w:val="000000"/>
          <w:sz w:val="24"/>
          <w:szCs w:val="24"/>
          <w:shd w:val="clear" w:color="auto" w:fill="FFFFFF"/>
        </w:rPr>
        <w:t xml:space="preserve"> at 26 weeks. Self-reported adherence above 50% was 85% at 4 weeks and 78% at 26 weeks. 23/24 (96%) men reporting an HIV+ primary partner and 104/120 (86%) of men reporting casual partners with unknown or HIV+ status accepted </w:t>
      </w:r>
      <w:proofErr w:type="spellStart"/>
      <w:r w:rsidRPr="00C773F8">
        <w:rPr>
          <w:rFonts w:asciiTheme="minorHAnsi" w:hAnsiTheme="minorHAnsi" w:cstheme="minorHAnsi"/>
          <w:color w:val="000000"/>
          <w:sz w:val="24"/>
          <w:szCs w:val="24"/>
          <w:shd w:val="clear" w:color="auto" w:fill="FFFFFF"/>
        </w:rPr>
        <w:t>PrEP.</w:t>
      </w:r>
      <w:proofErr w:type="spellEnd"/>
      <w:r w:rsidRPr="00C773F8">
        <w:rPr>
          <w:rFonts w:asciiTheme="minorHAnsi" w:hAnsiTheme="minorHAnsi" w:cstheme="minorHAnsi"/>
          <w:color w:val="000000"/>
          <w:sz w:val="24"/>
          <w:szCs w:val="24"/>
          <w:shd w:val="clear" w:color="auto" w:fill="FFFFFF"/>
        </w:rPr>
        <w:t xml:space="preserve"> Those agreeing to take </w:t>
      </w:r>
      <w:proofErr w:type="spellStart"/>
      <w:r w:rsidRPr="00C773F8">
        <w:rPr>
          <w:rFonts w:asciiTheme="minorHAnsi" w:hAnsiTheme="minorHAnsi" w:cstheme="minorHAnsi"/>
          <w:color w:val="000000"/>
          <w:sz w:val="24"/>
          <w:szCs w:val="24"/>
          <w:shd w:val="clear" w:color="auto" w:fill="FFFFFF"/>
        </w:rPr>
        <w:t>PrEP</w:t>
      </w:r>
      <w:proofErr w:type="spellEnd"/>
      <w:r w:rsidRPr="00C773F8">
        <w:rPr>
          <w:rFonts w:asciiTheme="minorHAnsi" w:hAnsiTheme="minorHAnsi" w:cstheme="minorHAnsi"/>
          <w:color w:val="000000"/>
          <w:sz w:val="24"/>
          <w:szCs w:val="24"/>
          <w:shd w:val="clear" w:color="auto" w:fill="FFFFFF"/>
        </w:rPr>
        <w:t xml:space="preserve"> utilized a median of 6 C4 sessions (range 3–8) compared to men not accepting </w:t>
      </w:r>
      <w:proofErr w:type="spellStart"/>
      <w:r w:rsidRPr="00C773F8">
        <w:rPr>
          <w:rFonts w:asciiTheme="minorHAnsi" w:hAnsiTheme="minorHAnsi" w:cstheme="minorHAnsi"/>
          <w:color w:val="000000"/>
          <w:sz w:val="24"/>
          <w:szCs w:val="24"/>
          <w:shd w:val="clear" w:color="auto" w:fill="FFFFFF"/>
        </w:rPr>
        <w:t>PrEP</w:t>
      </w:r>
      <w:proofErr w:type="spellEnd"/>
      <w:r w:rsidRPr="00C773F8">
        <w:rPr>
          <w:rFonts w:asciiTheme="minorHAnsi" w:hAnsiTheme="minorHAnsi" w:cstheme="minorHAnsi"/>
          <w:color w:val="000000"/>
          <w:sz w:val="24"/>
          <w:szCs w:val="24"/>
          <w:shd w:val="clear" w:color="auto" w:fill="FFFFFF"/>
        </w:rPr>
        <w:t xml:space="preserve"> (median 4 range 2-6]). Among the 178 men who ever accepted </w:t>
      </w:r>
      <w:proofErr w:type="spellStart"/>
      <w:r w:rsidRPr="00C773F8">
        <w:rPr>
          <w:rFonts w:asciiTheme="minorHAnsi" w:hAnsiTheme="minorHAnsi" w:cstheme="minorHAnsi"/>
          <w:color w:val="000000"/>
          <w:sz w:val="24"/>
          <w:szCs w:val="24"/>
          <w:shd w:val="clear" w:color="auto" w:fill="FFFFFF"/>
        </w:rPr>
        <w:t>PrEP</w:t>
      </w:r>
      <w:proofErr w:type="spellEnd"/>
      <w:r w:rsidRPr="00C773F8">
        <w:rPr>
          <w:rFonts w:asciiTheme="minorHAnsi" w:hAnsiTheme="minorHAnsi" w:cstheme="minorHAnsi"/>
          <w:color w:val="000000"/>
          <w:sz w:val="24"/>
          <w:szCs w:val="24"/>
          <w:shd w:val="clear" w:color="auto" w:fill="FFFFFF"/>
        </w:rPr>
        <w:t>, 5 HIV infections occurred in 172 person years (PY) (incidence=2.9 95%</w:t>
      </w:r>
      <w:proofErr w:type="gramStart"/>
      <w:r w:rsidRPr="00C773F8">
        <w:rPr>
          <w:rFonts w:asciiTheme="minorHAnsi" w:hAnsiTheme="minorHAnsi" w:cstheme="minorHAnsi"/>
          <w:color w:val="000000"/>
          <w:sz w:val="24"/>
          <w:szCs w:val="24"/>
          <w:shd w:val="clear" w:color="auto" w:fill="FFFFFF"/>
        </w:rPr>
        <w:t>CI(</w:t>
      </w:r>
      <w:proofErr w:type="gramEnd"/>
      <w:r w:rsidRPr="00C773F8">
        <w:rPr>
          <w:rFonts w:asciiTheme="minorHAnsi" w:hAnsiTheme="minorHAnsi" w:cstheme="minorHAnsi"/>
          <w:color w:val="000000"/>
          <w:sz w:val="24"/>
          <w:szCs w:val="24"/>
          <w:shd w:val="clear" w:color="auto" w:fill="FFFFFF"/>
        </w:rPr>
        <w:t xml:space="preserve">0.9-6.8)) compared to 3 in 39 PY (incidence=7.7 95%CI1.6-22.5) in men who never accepted </w:t>
      </w:r>
      <w:proofErr w:type="spellStart"/>
      <w:r w:rsidRPr="00C773F8">
        <w:rPr>
          <w:rFonts w:asciiTheme="minorHAnsi" w:hAnsiTheme="minorHAnsi" w:cstheme="minorHAnsi"/>
          <w:color w:val="000000"/>
          <w:sz w:val="24"/>
          <w:szCs w:val="24"/>
          <w:shd w:val="clear" w:color="auto" w:fill="FFFFFF"/>
        </w:rPr>
        <w:t>PrEP.</w:t>
      </w:r>
      <w:proofErr w:type="spellEnd"/>
      <w:r w:rsidRPr="00C773F8">
        <w:rPr>
          <w:rFonts w:asciiTheme="minorHAnsi" w:hAnsiTheme="minorHAnsi" w:cstheme="minorHAnsi"/>
          <w:color w:val="000000"/>
          <w:sz w:val="24"/>
          <w:szCs w:val="24"/>
          <w:shd w:val="clear" w:color="auto" w:fill="FFFFFF"/>
        </w:rPr>
        <w:t xml:space="preserve">  Of the 5 </w:t>
      </w:r>
      <w:proofErr w:type="spellStart"/>
      <w:r w:rsidRPr="00C773F8">
        <w:rPr>
          <w:rFonts w:asciiTheme="minorHAnsi" w:hAnsiTheme="minorHAnsi" w:cstheme="minorHAnsi"/>
          <w:color w:val="000000"/>
          <w:sz w:val="24"/>
          <w:szCs w:val="24"/>
          <w:shd w:val="clear" w:color="auto" w:fill="FFFFFF"/>
        </w:rPr>
        <w:t>seroconverters</w:t>
      </w:r>
      <w:proofErr w:type="spellEnd"/>
      <w:r w:rsidRPr="00C773F8">
        <w:rPr>
          <w:rFonts w:asciiTheme="minorHAnsi" w:hAnsiTheme="minorHAnsi" w:cstheme="minorHAnsi"/>
          <w:color w:val="000000"/>
          <w:sz w:val="24"/>
          <w:szCs w:val="24"/>
          <w:shd w:val="clear" w:color="auto" w:fill="FFFFFF"/>
        </w:rPr>
        <w:t xml:space="preserve"> who ever took </w:t>
      </w:r>
      <w:proofErr w:type="spellStart"/>
      <w:r w:rsidRPr="00C773F8">
        <w:rPr>
          <w:rFonts w:asciiTheme="minorHAnsi" w:hAnsiTheme="minorHAnsi" w:cstheme="minorHAnsi"/>
          <w:color w:val="000000"/>
          <w:sz w:val="24"/>
          <w:szCs w:val="24"/>
          <w:shd w:val="clear" w:color="auto" w:fill="FFFFFF"/>
        </w:rPr>
        <w:t>PrEP</w:t>
      </w:r>
      <w:proofErr w:type="spellEnd"/>
      <w:r w:rsidRPr="00C773F8">
        <w:rPr>
          <w:rFonts w:asciiTheme="minorHAnsi" w:hAnsiTheme="minorHAnsi" w:cstheme="minorHAnsi"/>
          <w:color w:val="000000"/>
          <w:sz w:val="24"/>
          <w:szCs w:val="24"/>
          <w:shd w:val="clear" w:color="auto" w:fill="FFFFFF"/>
        </w:rPr>
        <w:t xml:space="preserve">, 2 had discontinued </w:t>
      </w:r>
      <w:proofErr w:type="spellStart"/>
      <w:r w:rsidRPr="00C773F8">
        <w:rPr>
          <w:rFonts w:asciiTheme="minorHAnsi" w:hAnsiTheme="minorHAnsi" w:cstheme="minorHAnsi"/>
          <w:color w:val="000000"/>
          <w:sz w:val="24"/>
          <w:szCs w:val="24"/>
          <w:shd w:val="clear" w:color="auto" w:fill="FFFFFF"/>
        </w:rPr>
        <w:t>PrEP</w:t>
      </w:r>
      <w:proofErr w:type="spellEnd"/>
      <w:r w:rsidRPr="00C773F8">
        <w:rPr>
          <w:rFonts w:asciiTheme="minorHAnsi" w:hAnsiTheme="minorHAnsi" w:cstheme="minorHAnsi"/>
          <w:color w:val="000000"/>
          <w:sz w:val="24"/>
          <w:szCs w:val="24"/>
          <w:shd w:val="clear" w:color="auto" w:fill="FFFFFF"/>
        </w:rPr>
        <w:t xml:space="preserve"> at 50 and 272 days prior to seroconversion.</w:t>
      </w:r>
    </w:p>
    <w:p w14:paraId="3EDEBDE7" w14:textId="48A565CE" w:rsidR="000844FF" w:rsidRPr="00A57FA3" w:rsidRDefault="004074A2" w:rsidP="000844FF">
      <w:pPr>
        <w:ind w:left="820" w:right="257" w:hanging="360"/>
        <w:rPr>
          <w:rFonts w:asciiTheme="minorHAnsi" w:eastAsia="Calibri" w:hAnsiTheme="minorHAnsi" w:cs="Calibri"/>
          <w:sz w:val="24"/>
          <w:szCs w:val="24"/>
        </w:rPr>
      </w:pPr>
      <w:r>
        <w:rPr>
          <w:rFonts w:asciiTheme="minorHAnsi" w:eastAsia="Calibri" w:hAnsiTheme="minorHAnsi" w:cs="Calibri"/>
          <w:spacing w:val="1"/>
          <w:sz w:val="24"/>
          <w:szCs w:val="24"/>
        </w:rPr>
        <w:t>2</w:t>
      </w:r>
      <w:r w:rsidR="000844FF" w:rsidRPr="00A57FA3">
        <w:rPr>
          <w:rFonts w:asciiTheme="minorHAnsi" w:eastAsia="Calibri" w:hAnsiTheme="minorHAnsi" w:cs="Calibri"/>
          <w:sz w:val="24"/>
          <w:szCs w:val="24"/>
        </w:rPr>
        <w:t xml:space="preserve">. </w:t>
      </w:r>
      <w:proofErr w:type="spellStart"/>
      <w:r w:rsidR="000844FF" w:rsidRPr="00A57FA3">
        <w:rPr>
          <w:rFonts w:asciiTheme="minorHAnsi" w:eastAsia="Calibri" w:hAnsiTheme="minorHAnsi" w:cs="Calibri"/>
          <w:sz w:val="24"/>
          <w:szCs w:val="24"/>
        </w:rPr>
        <w:t>Hoornenborg</w:t>
      </w:r>
      <w:proofErr w:type="spellEnd"/>
      <w:r w:rsidR="000844FF" w:rsidRPr="00A57FA3">
        <w:rPr>
          <w:rFonts w:asciiTheme="minorHAnsi" w:eastAsia="Calibri" w:hAnsiTheme="minorHAnsi" w:cs="Calibri"/>
          <w:sz w:val="24"/>
          <w:szCs w:val="24"/>
        </w:rPr>
        <w:t xml:space="preserve">, </w:t>
      </w:r>
      <w:proofErr w:type="spellStart"/>
      <w:r w:rsidR="000844FF" w:rsidRPr="00A57FA3">
        <w:rPr>
          <w:rFonts w:asciiTheme="minorHAnsi" w:eastAsia="Calibri" w:hAnsiTheme="minorHAnsi" w:cs="Calibri"/>
          <w:sz w:val="24"/>
          <w:szCs w:val="24"/>
        </w:rPr>
        <w:t>Els</w:t>
      </w:r>
      <w:r w:rsidR="000844FF">
        <w:rPr>
          <w:rFonts w:asciiTheme="minorHAnsi" w:eastAsia="Calibri" w:hAnsiTheme="minorHAnsi" w:cs="Calibri"/>
          <w:sz w:val="24"/>
          <w:szCs w:val="24"/>
        </w:rPr>
        <w:t>ke</w:t>
      </w:r>
      <w:proofErr w:type="spellEnd"/>
      <w:r w:rsidR="000844FF">
        <w:rPr>
          <w:rFonts w:asciiTheme="minorHAnsi" w:eastAsia="Calibri" w:hAnsiTheme="minorHAnsi" w:cs="Calibri"/>
          <w:sz w:val="24"/>
          <w:szCs w:val="24"/>
        </w:rPr>
        <w:t xml:space="preserve"> &amp;</w:t>
      </w:r>
      <w:r w:rsidR="000844FF" w:rsidRPr="00A57FA3">
        <w:rPr>
          <w:rFonts w:asciiTheme="minorHAnsi" w:eastAsia="Calibri" w:hAnsiTheme="minorHAnsi" w:cs="Calibri"/>
          <w:sz w:val="24"/>
          <w:szCs w:val="24"/>
        </w:rPr>
        <w:t xml:space="preserve"> </w:t>
      </w:r>
      <w:proofErr w:type="spellStart"/>
      <w:r w:rsidR="000844FF">
        <w:rPr>
          <w:rFonts w:asciiTheme="minorHAnsi" w:eastAsia="Calibri" w:hAnsiTheme="minorHAnsi" w:cs="Calibri"/>
          <w:sz w:val="24"/>
          <w:szCs w:val="24"/>
        </w:rPr>
        <w:t>Godelieve</w:t>
      </w:r>
      <w:proofErr w:type="spellEnd"/>
      <w:r w:rsidR="000844FF">
        <w:rPr>
          <w:rFonts w:asciiTheme="minorHAnsi" w:eastAsia="Calibri" w:hAnsiTheme="minorHAnsi" w:cs="Calibri"/>
          <w:sz w:val="24"/>
          <w:szCs w:val="24"/>
        </w:rPr>
        <w:t xml:space="preserve"> de Bree</w:t>
      </w:r>
      <w:r w:rsidR="000844FF" w:rsidRPr="00A57FA3">
        <w:rPr>
          <w:rFonts w:asciiTheme="minorHAnsi" w:eastAsia="Calibri" w:hAnsiTheme="minorHAnsi" w:cs="Calibri"/>
          <w:sz w:val="24"/>
          <w:szCs w:val="24"/>
        </w:rPr>
        <w:t xml:space="preserve"> (2011). </w:t>
      </w:r>
      <w:r w:rsidR="000844FF">
        <w:rPr>
          <w:rFonts w:asciiTheme="minorHAnsi" w:eastAsia="Calibri" w:hAnsiTheme="minorHAnsi" w:cs="Calibri"/>
          <w:sz w:val="24"/>
          <w:szCs w:val="24"/>
        </w:rPr>
        <w:t xml:space="preserve">Acute Infection with a Wild-type HIV-1 Virus in a </w:t>
      </w:r>
      <w:proofErr w:type="spellStart"/>
      <w:r w:rsidR="000844FF">
        <w:rPr>
          <w:rFonts w:asciiTheme="minorHAnsi" w:eastAsia="Calibri" w:hAnsiTheme="minorHAnsi" w:cs="Calibri"/>
          <w:sz w:val="24"/>
          <w:szCs w:val="24"/>
        </w:rPr>
        <w:t>PrEP</w:t>
      </w:r>
      <w:proofErr w:type="spellEnd"/>
      <w:r w:rsidR="000844FF">
        <w:rPr>
          <w:rFonts w:asciiTheme="minorHAnsi" w:eastAsia="Calibri" w:hAnsiTheme="minorHAnsi" w:cs="Calibri"/>
          <w:sz w:val="24"/>
          <w:szCs w:val="24"/>
        </w:rPr>
        <w:t xml:space="preserve"> User with High TDF Levels</w:t>
      </w:r>
      <w:r w:rsidR="000844FF" w:rsidRPr="00A57FA3">
        <w:rPr>
          <w:rFonts w:asciiTheme="minorHAnsi" w:eastAsia="Calibri" w:hAnsiTheme="minorHAnsi" w:cstheme="minorHAnsi"/>
          <w:sz w:val="24"/>
          <w:szCs w:val="24"/>
        </w:rPr>
        <w:t xml:space="preserve">. </w:t>
      </w:r>
      <w:r w:rsidR="000844FF">
        <w:rPr>
          <w:rFonts w:asciiTheme="minorHAnsi" w:eastAsia="Calibri" w:hAnsiTheme="minorHAnsi" w:cstheme="minorHAnsi"/>
          <w:sz w:val="24"/>
          <w:szCs w:val="24"/>
        </w:rPr>
        <w:t>24</w:t>
      </w:r>
      <w:r w:rsidR="000844FF" w:rsidRPr="000844FF">
        <w:rPr>
          <w:rFonts w:asciiTheme="minorHAnsi" w:eastAsia="Calibri" w:hAnsiTheme="minorHAnsi" w:cstheme="minorHAnsi"/>
          <w:sz w:val="24"/>
          <w:szCs w:val="24"/>
          <w:vertAlign w:val="superscript"/>
        </w:rPr>
        <w:t>th</w:t>
      </w:r>
      <w:r w:rsidR="000844FF" w:rsidRPr="006635C2">
        <w:rPr>
          <w:rFonts w:asciiTheme="minorHAnsi" w:eastAsia="Calibri" w:hAnsiTheme="minorHAnsi" w:cstheme="minorHAnsi"/>
          <w:sz w:val="24"/>
          <w:szCs w:val="24"/>
        </w:rPr>
        <w:t xml:space="preserve"> Conference on Retroviruses and Opportunistic Infections. </w:t>
      </w:r>
      <w:r w:rsidR="000844FF">
        <w:rPr>
          <w:rFonts w:asciiTheme="minorHAnsi" w:eastAsia="Calibri" w:hAnsiTheme="minorHAnsi" w:cstheme="minorHAnsi"/>
          <w:sz w:val="24"/>
          <w:szCs w:val="24"/>
        </w:rPr>
        <w:t>February 14-16, 2017. Seattle, WA. Abstract 953.</w:t>
      </w:r>
    </w:p>
    <w:p w14:paraId="02282D0D" w14:textId="46F03AF5" w:rsidR="000844FF" w:rsidRDefault="000844FF" w:rsidP="000844FF">
      <w:pPr>
        <w:tabs>
          <w:tab w:val="left" w:pos="1540"/>
        </w:tabs>
        <w:spacing w:before="3" w:line="280" w:lineRule="exact"/>
        <w:ind w:left="1540" w:right="112" w:hanging="360"/>
        <w:jc w:val="both"/>
        <w:rPr>
          <w:rFonts w:asciiTheme="minorHAnsi" w:hAnsiTheme="minorHAnsi" w:cstheme="minorHAnsi"/>
          <w:color w:val="000000"/>
          <w:sz w:val="24"/>
          <w:szCs w:val="24"/>
          <w:shd w:val="clear" w:color="auto" w:fill="FFFFFF"/>
        </w:rPr>
      </w:pPr>
      <w:r w:rsidRPr="00A57FA3">
        <w:rPr>
          <w:rFonts w:asciiTheme="minorHAnsi" w:hAnsiTheme="minorHAnsi"/>
          <w:sz w:val="24"/>
          <w:szCs w:val="24"/>
        </w:rPr>
        <w:tab/>
      </w:r>
      <w:r>
        <w:rPr>
          <w:rFonts w:asciiTheme="minorHAnsi" w:hAnsiTheme="minorHAnsi" w:cstheme="minorHAnsi"/>
          <w:color w:val="000000"/>
          <w:sz w:val="24"/>
          <w:szCs w:val="24"/>
          <w:shd w:val="clear" w:color="auto" w:fill="FFFFFF"/>
        </w:rPr>
        <w:t>Study investigators</w:t>
      </w:r>
      <w:r w:rsidRPr="000844FF">
        <w:rPr>
          <w:rFonts w:asciiTheme="minorHAnsi" w:hAnsiTheme="minorHAnsi" w:cstheme="minorHAnsi"/>
          <w:color w:val="000000"/>
          <w:sz w:val="24"/>
          <w:szCs w:val="24"/>
          <w:shd w:val="clear" w:color="auto" w:fill="FFFFFF"/>
        </w:rPr>
        <w:t xml:space="preserve"> report a case with potentially very high HIV-1 exposure who was infected with wild-type HIV-1 while adherin</w:t>
      </w:r>
      <w:r>
        <w:rPr>
          <w:rFonts w:asciiTheme="minorHAnsi" w:hAnsiTheme="minorHAnsi" w:cstheme="minorHAnsi"/>
          <w:color w:val="000000"/>
          <w:sz w:val="24"/>
          <w:szCs w:val="24"/>
          <w:shd w:val="clear" w:color="auto" w:fill="FFFFFF"/>
        </w:rPr>
        <w:t xml:space="preserve">g well to a daily </w:t>
      </w:r>
      <w:proofErr w:type="spellStart"/>
      <w:r>
        <w:rPr>
          <w:rFonts w:asciiTheme="minorHAnsi" w:hAnsiTheme="minorHAnsi" w:cstheme="minorHAnsi"/>
          <w:color w:val="000000"/>
          <w:sz w:val="24"/>
          <w:szCs w:val="24"/>
          <w:shd w:val="clear" w:color="auto" w:fill="FFFFFF"/>
        </w:rPr>
        <w:t>PrEP</w:t>
      </w:r>
      <w:proofErr w:type="spellEnd"/>
      <w:r>
        <w:rPr>
          <w:rFonts w:asciiTheme="minorHAnsi" w:hAnsiTheme="minorHAnsi" w:cstheme="minorHAnsi"/>
          <w:color w:val="000000"/>
          <w:sz w:val="24"/>
          <w:szCs w:val="24"/>
          <w:shd w:val="clear" w:color="auto" w:fill="FFFFFF"/>
        </w:rPr>
        <w:t xml:space="preserve"> regimen. </w:t>
      </w:r>
      <w:r w:rsidRPr="000844FF">
        <w:rPr>
          <w:rFonts w:asciiTheme="minorHAnsi" w:hAnsiTheme="minorHAnsi" w:cstheme="minorHAnsi"/>
          <w:color w:val="000000"/>
          <w:sz w:val="24"/>
          <w:szCs w:val="24"/>
          <w:shd w:val="clear" w:color="auto" w:fill="FFFFFF"/>
        </w:rPr>
        <w:t xml:space="preserve">A 50-year-old men who has sex with men (MSM) started daily </w:t>
      </w:r>
      <w:proofErr w:type="spellStart"/>
      <w:r w:rsidRPr="000844FF">
        <w:rPr>
          <w:rFonts w:asciiTheme="minorHAnsi" w:hAnsiTheme="minorHAnsi" w:cstheme="minorHAnsi"/>
          <w:color w:val="000000"/>
          <w:sz w:val="24"/>
          <w:szCs w:val="24"/>
          <w:shd w:val="clear" w:color="auto" w:fill="FFFFFF"/>
        </w:rPr>
        <w:t>PrEP</w:t>
      </w:r>
      <w:proofErr w:type="spellEnd"/>
      <w:r w:rsidRPr="000844FF">
        <w:rPr>
          <w:rFonts w:asciiTheme="minorHAnsi" w:hAnsiTheme="minorHAnsi" w:cstheme="minorHAnsi"/>
          <w:color w:val="000000"/>
          <w:sz w:val="24"/>
          <w:szCs w:val="24"/>
          <w:shd w:val="clear" w:color="auto" w:fill="FFFFFF"/>
        </w:rPr>
        <w:t xml:space="preserve"> via the Amsterdam </w:t>
      </w:r>
      <w:proofErr w:type="spellStart"/>
      <w:r w:rsidRPr="000844FF">
        <w:rPr>
          <w:rFonts w:asciiTheme="minorHAnsi" w:hAnsiTheme="minorHAnsi" w:cstheme="minorHAnsi"/>
          <w:color w:val="000000"/>
          <w:sz w:val="24"/>
          <w:szCs w:val="24"/>
          <w:shd w:val="clear" w:color="auto" w:fill="FFFFFF"/>
        </w:rPr>
        <w:t>PrEP</w:t>
      </w:r>
      <w:proofErr w:type="spellEnd"/>
      <w:r w:rsidRPr="000844FF">
        <w:rPr>
          <w:rFonts w:asciiTheme="minorHAnsi" w:hAnsiTheme="minorHAnsi" w:cstheme="minorHAnsi"/>
          <w:color w:val="000000"/>
          <w:sz w:val="24"/>
          <w:szCs w:val="24"/>
          <w:shd w:val="clear" w:color="auto" w:fill="FFFFFF"/>
        </w:rPr>
        <w:t xml:space="preserve"> (</w:t>
      </w:r>
      <w:proofErr w:type="spellStart"/>
      <w:r w:rsidRPr="000844FF">
        <w:rPr>
          <w:rFonts w:asciiTheme="minorHAnsi" w:hAnsiTheme="minorHAnsi" w:cstheme="minorHAnsi"/>
          <w:color w:val="000000"/>
          <w:sz w:val="24"/>
          <w:szCs w:val="24"/>
          <w:shd w:val="clear" w:color="auto" w:fill="FFFFFF"/>
        </w:rPr>
        <w:t>AMPrEP</w:t>
      </w:r>
      <w:proofErr w:type="spellEnd"/>
      <w:r w:rsidRPr="000844FF">
        <w:rPr>
          <w:rFonts w:asciiTheme="minorHAnsi" w:hAnsiTheme="minorHAnsi" w:cstheme="minorHAnsi"/>
          <w:color w:val="000000"/>
          <w:sz w:val="24"/>
          <w:szCs w:val="24"/>
          <w:shd w:val="clear" w:color="auto" w:fill="FFFFFF"/>
        </w:rPr>
        <w:t xml:space="preserve">) study. At enrollment, he tested HIV negative (4th generation HIV Ag/Ab test and HIV RNA test). Pill counts and daily diary information indicated adequate adherence of 7 pills per week. This was confirmed by a TDF-DP level in DBS of 2234 and 2258 </w:t>
      </w:r>
      <w:proofErr w:type="spellStart"/>
      <w:r w:rsidRPr="000844FF">
        <w:rPr>
          <w:rFonts w:asciiTheme="minorHAnsi" w:hAnsiTheme="minorHAnsi" w:cstheme="minorHAnsi"/>
          <w:color w:val="000000"/>
          <w:sz w:val="24"/>
          <w:szCs w:val="24"/>
          <w:shd w:val="clear" w:color="auto" w:fill="FFFFFF"/>
        </w:rPr>
        <w:t>fmol</w:t>
      </w:r>
      <w:proofErr w:type="spellEnd"/>
      <w:r w:rsidRPr="000844FF">
        <w:rPr>
          <w:rFonts w:asciiTheme="minorHAnsi" w:hAnsiTheme="minorHAnsi" w:cstheme="minorHAnsi"/>
          <w:color w:val="000000"/>
          <w:sz w:val="24"/>
          <w:szCs w:val="24"/>
          <w:shd w:val="clear" w:color="auto" w:fill="FFFFFF"/>
        </w:rPr>
        <w:t xml:space="preserve">/punch at respectively 6 and 8 months after start of </w:t>
      </w:r>
      <w:proofErr w:type="spellStart"/>
      <w:r w:rsidRPr="000844FF">
        <w:rPr>
          <w:rFonts w:asciiTheme="minorHAnsi" w:hAnsiTheme="minorHAnsi" w:cstheme="minorHAnsi"/>
          <w:color w:val="000000"/>
          <w:sz w:val="24"/>
          <w:szCs w:val="24"/>
          <w:shd w:val="clear" w:color="auto" w:fill="FFFFFF"/>
        </w:rPr>
        <w:t>PrEP.</w:t>
      </w:r>
      <w:proofErr w:type="spellEnd"/>
      <w:r w:rsidRPr="000844FF">
        <w:rPr>
          <w:rFonts w:asciiTheme="minorHAnsi" w:hAnsiTheme="minorHAnsi" w:cstheme="minorHAnsi"/>
          <w:color w:val="000000"/>
          <w:sz w:val="24"/>
          <w:szCs w:val="24"/>
          <w:shd w:val="clear" w:color="auto" w:fill="FFFFFF"/>
        </w:rPr>
        <w:t xml:space="preserve"> HIV Ag/Ab tests during follow-up were repeatedly negative at 1, 3 and 6 months after starting </w:t>
      </w:r>
      <w:proofErr w:type="spellStart"/>
      <w:r w:rsidRPr="000844FF">
        <w:rPr>
          <w:rFonts w:asciiTheme="minorHAnsi" w:hAnsiTheme="minorHAnsi" w:cstheme="minorHAnsi"/>
          <w:color w:val="000000"/>
          <w:sz w:val="24"/>
          <w:szCs w:val="24"/>
          <w:shd w:val="clear" w:color="auto" w:fill="FFFFFF"/>
        </w:rPr>
        <w:t>PrEP.</w:t>
      </w:r>
      <w:proofErr w:type="spellEnd"/>
      <w:r w:rsidRPr="000844FF">
        <w:rPr>
          <w:rFonts w:asciiTheme="minorHAnsi" w:hAnsiTheme="minorHAnsi" w:cstheme="minorHAnsi"/>
          <w:color w:val="000000"/>
          <w:sz w:val="24"/>
          <w:szCs w:val="24"/>
          <w:shd w:val="clear" w:color="auto" w:fill="FFFFFF"/>
        </w:rPr>
        <w:t xml:space="preserve"> The number of episodes of </w:t>
      </w:r>
      <w:proofErr w:type="spellStart"/>
      <w:r w:rsidRPr="000844FF">
        <w:rPr>
          <w:rFonts w:asciiTheme="minorHAnsi" w:hAnsiTheme="minorHAnsi" w:cstheme="minorHAnsi"/>
          <w:color w:val="000000"/>
          <w:sz w:val="24"/>
          <w:szCs w:val="24"/>
          <w:shd w:val="clear" w:color="auto" w:fill="FFFFFF"/>
        </w:rPr>
        <w:t>condomless</w:t>
      </w:r>
      <w:proofErr w:type="spellEnd"/>
      <w:r w:rsidRPr="000844FF">
        <w:rPr>
          <w:rFonts w:asciiTheme="minorHAnsi" w:hAnsiTheme="minorHAnsi" w:cstheme="minorHAnsi"/>
          <w:color w:val="000000"/>
          <w:sz w:val="24"/>
          <w:szCs w:val="24"/>
          <w:shd w:val="clear" w:color="auto" w:fill="FFFFFF"/>
        </w:rPr>
        <w:t xml:space="preserve"> ana</w:t>
      </w:r>
      <w:r w:rsidR="004074A2">
        <w:rPr>
          <w:rFonts w:asciiTheme="minorHAnsi" w:hAnsiTheme="minorHAnsi" w:cstheme="minorHAnsi"/>
          <w:color w:val="000000"/>
          <w:sz w:val="24"/>
          <w:szCs w:val="24"/>
          <w:shd w:val="clear" w:color="auto" w:fill="FFFFFF"/>
        </w:rPr>
        <w:t>l sex (CAS) was remarkably high.</w:t>
      </w:r>
    </w:p>
    <w:p w14:paraId="293D9E51" w14:textId="79EDD3E9" w:rsidR="004074A2" w:rsidRPr="00A57FA3" w:rsidRDefault="003F5158" w:rsidP="004074A2">
      <w:pPr>
        <w:ind w:left="820" w:right="257" w:hanging="360"/>
        <w:rPr>
          <w:rFonts w:asciiTheme="minorHAnsi" w:eastAsia="Calibri" w:hAnsiTheme="minorHAnsi" w:cs="Calibri"/>
          <w:sz w:val="24"/>
          <w:szCs w:val="24"/>
        </w:rPr>
      </w:pPr>
      <w:r>
        <w:rPr>
          <w:rFonts w:asciiTheme="minorHAnsi" w:eastAsia="Calibri" w:hAnsiTheme="minorHAnsi" w:cs="Calibri"/>
          <w:spacing w:val="1"/>
          <w:sz w:val="24"/>
          <w:szCs w:val="24"/>
        </w:rPr>
        <w:t>3</w:t>
      </w:r>
      <w:r w:rsidR="004074A2" w:rsidRPr="00A57FA3">
        <w:rPr>
          <w:rFonts w:asciiTheme="minorHAnsi" w:eastAsia="Calibri" w:hAnsiTheme="minorHAnsi" w:cs="Calibri"/>
          <w:sz w:val="24"/>
          <w:szCs w:val="24"/>
        </w:rPr>
        <w:t xml:space="preserve">. </w:t>
      </w:r>
      <w:r>
        <w:rPr>
          <w:rFonts w:asciiTheme="minorHAnsi" w:eastAsia="Calibri" w:hAnsiTheme="minorHAnsi" w:cs="Calibri"/>
          <w:sz w:val="24"/>
          <w:szCs w:val="24"/>
        </w:rPr>
        <w:t>Grant</w:t>
      </w:r>
      <w:r w:rsidR="004074A2" w:rsidRPr="00A57FA3">
        <w:rPr>
          <w:rFonts w:asciiTheme="minorHAnsi" w:eastAsia="Calibri" w:hAnsiTheme="minorHAnsi" w:cs="Calibri"/>
          <w:sz w:val="24"/>
          <w:szCs w:val="24"/>
        </w:rPr>
        <w:t>,</w:t>
      </w:r>
      <w:r>
        <w:rPr>
          <w:rFonts w:asciiTheme="minorHAnsi" w:eastAsia="Calibri" w:hAnsiTheme="minorHAnsi" w:cs="Calibri"/>
          <w:sz w:val="24"/>
          <w:szCs w:val="24"/>
        </w:rPr>
        <w:t xml:space="preserve"> R.M., Liu, A., Hecht, J., Buchbinder, S.P., et al.</w:t>
      </w:r>
      <w:r w:rsidR="004074A2" w:rsidRPr="00A57FA3">
        <w:rPr>
          <w:rFonts w:asciiTheme="minorHAnsi" w:eastAsia="Calibri" w:hAnsiTheme="minorHAnsi" w:cs="Calibri"/>
          <w:sz w:val="24"/>
          <w:szCs w:val="24"/>
        </w:rPr>
        <w:t xml:space="preserve"> (201</w:t>
      </w:r>
      <w:r>
        <w:rPr>
          <w:rFonts w:asciiTheme="minorHAnsi" w:eastAsia="Calibri" w:hAnsiTheme="minorHAnsi" w:cs="Calibri"/>
          <w:sz w:val="24"/>
          <w:szCs w:val="24"/>
        </w:rPr>
        <w:t>5</w:t>
      </w:r>
      <w:r w:rsidR="004074A2" w:rsidRPr="00A57FA3">
        <w:rPr>
          <w:rFonts w:asciiTheme="minorHAnsi" w:eastAsia="Calibri" w:hAnsiTheme="minorHAnsi" w:cs="Calibri"/>
          <w:sz w:val="24"/>
          <w:szCs w:val="24"/>
        </w:rPr>
        <w:t xml:space="preserve">). </w:t>
      </w:r>
      <w:r>
        <w:rPr>
          <w:rFonts w:asciiTheme="minorHAnsi" w:eastAsia="Calibri" w:hAnsiTheme="minorHAnsi" w:cs="Calibri"/>
          <w:sz w:val="24"/>
          <w:szCs w:val="24"/>
        </w:rPr>
        <w:t>Scale-Up of Preexposure Prophylaxis in San Francisco to Impact HIV Incidence.</w:t>
      </w:r>
      <w:r w:rsidR="004074A2" w:rsidRPr="00A57FA3">
        <w:rPr>
          <w:rFonts w:asciiTheme="minorHAnsi" w:eastAsia="Calibri" w:hAnsiTheme="minorHAnsi" w:cstheme="minorHAnsi"/>
          <w:sz w:val="24"/>
          <w:szCs w:val="24"/>
        </w:rPr>
        <w:t xml:space="preserve"> </w:t>
      </w:r>
      <w:r>
        <w:rPr>
          <w:rFonts w:asciiTheme="minorHAnsi" w:eastAsia="Calibri" w:hAnsiTheme="minorHAnsi" w:cstheme="minorHAnsi"/>
          <w:sz w:val="24"/>
          <w:szCs w:val="24"/>
        </w:rPr>
        <w:t>22</w:t>
      </w:r>
      <w:r w:rsidRPr="003F5158">
        <w:rPr>
          <w:rFonts w:asciiTheme="minorHAnsi" w:eastAsia="Calibri" w:hAnsiTheme="minorHAnsi" w:cstheme="minorHAnsi"/>
          <w:sz w:val="24"/>
          <w:szCs w:val="24"/>
          <w:vertAlign w:val="superscript"/>
        </w:rPr>
        <w:t>nd</w:t>
      </w:r>
      <w:r>
        <w:rPr>
          <w:rFonts w:asciiTheme="minorHAnsi" w:eastAsia="Calibri" w:hAnsiTheme="minorHAnsi" w:cstheme="minorHAnsi"/>
          <w:sz w:val="24"/>
          <w:szCs w:val="24"/>
        </w:rPr>
        <w:t xml:space="preserve"> </w:t>
      </w:r>
      <w:r w:rsidR="004074A2" w:rsidRPr="006635C2">
        <w:rPr>
          <w:rFonts w:asciiTheme="minorHAnsi" w:eastAsia="Calibri" w:hAnsiTheme="minorHAnsi" w:cstheme="minorHAnsi"/>
          <w:sz w:val="24"/>
          <w:szCs w:val="24"/>
        </w:rPr>
        <w:t xml:space="preserve">Conference on Retroviruses and Opportunistic Infections. </w:t>
      </w:r>
      <w:r>
        <w:rPr>
          <w:rFonts w:asciiTheme="minorHAnsi" w:eastAsia="Calibri" w:hAnsiTheme="minorHAnsi" w:cstheme="minorHAnsi"/>
          <w:sz w:val="24"/>
          <w:szCs w:val="24"/>
        </w:rPr>
        <w:t>February 23-26, 2015</w:t>
      </w:r>
      <w:r w:rsidR="004074A2">
        <w:rPr>
          <w:rFonts w:asciiTheme="minorHAnsi" w:eastAsia="Calibri" w:hAnsiTheme="minorHAnsi" w:cstheme="minorHAnsi"/>
          <w:sz w:val="24"/>
          <w:szCs w:val="24"/>
        </w:rPr>
        <w:t xml:space="preserve">. Seattle, WA. Abstract </w:t>
      </w:r>
      <w:r>
        <w:rPr>
          <w:rFonts w:asciiTheme="minorHAnsi" w:eastAsia="Calibri" w:hAnsiTheme="minorHAnsi" w:cstheme="minorHAnsi"/>
          <w:sz w:val="24"/>
          <w:szCs w:val="24"/>
        </w:rPr>
        <w:t>25</w:t>
      </w:r>
      <w:r w:rsidR="004074A2">
        <w:rPr>
          <w:rFonts w:asciiTheme="minorHAnsi" w:eastAsia="Calibri" w:hAnsiTheme="minorHAnsi" w:cstheme="minorHAnsi"/>
          <w:sz w:val="24"/>
          <w:szCs w:val="24"/>
        </w:rPr>
        <w:t>.</w:t>
      </w:r>
    </w:p>
    <w:p w14:paraId="3BEF5986" w14:textId="6FCDA84A" w:rsidR="004074A2" w:rsidRDefault="004074A2" w:rsidP="004074A2">
      <w:pPr>
        <w:tabs>
          <w:tab w:val="left" w:pos="1540"/>
        </w:tabs>
        <w:spacing w:before="3" w:line="280" w:lineRule="exact"/>
        <w:ind w:left="1540" w:right="112" w:hanging="360"/>
        <w:jc w:val="both"/>
        <w:rPr>
          <w:rFonts w:asciiTheme="minorHAnsi" w:hAnsiTheme="minorHAnsi" w:cstheme="minorHAnsi"/>
          <w:color w:val="000000"/>
          <w:sz w:val="24"/>
          <w:szCs w:val="24"/>
          <w:shd w:val="clear" w:color="auto" w:fill="FFFFFF"/>
        </w:rPr>
      </w:pPr>
      <w:r w:rsidRPr="00A57FA3">
        <w:rPr>
          <w:rFonts w:asciiTheme="minorHAnsi" w:hAnsiTheme="minorHAnsi"/>
          <w:sz w:val="24"/>
          <w:szCs w:val="24"/>
        </w:rPr>
        <w:tab/>
      </w:r>
      <w:r w:rsidR="003F5158" w:rsidRPr="003F5158">
        <w:rPr>
          <w:rFonts w:asciiTheme="minorHAnsi" w:hAnsiTheme="minorHAnsi" w:cstheme="minorHAnsi"/>
          <w:color w:val="000000"/>
          <w:sz w:val="24"/>
          <w:szCs w:val="24"/>
          <w:shd w:val="clear" w:color="auto" w:fill="FFFFFF"/>
        </w:rPr>
        <w:t xml:space="preserve">A simple model was developed to forecast HIV transmission with expanded </w:t>
      </w:r>
      <w:proofErr w:type="spellStart"/>
      <w:r w:rsidR="003F5158" w:rsidRPr="003F5158">
        <w:rPr>
          <w:rFonts w:asciiTheme="minorHAnsi" w:hAnsiTheme="minorHAnsi" w:cstheme="minorHAnsi"/>
          <w:color w:val="000000"/>
          <w:sz w:val="24"/>
          <w:szCs w:val="24"/>
          <w:shd w:val="clear" w:color="auto" w:fill="FFFFFF"/>
        </w:rPr>
        <w:t>PrEP</w:t>
      </w:r>
      <w:proofErr w:type="spellEnd"/>
      <w:r w:rsidR="003F5158" w:rsidRPr="003F5158">
        <w:rPr>
          <w:rFonts w:asciiTheme="minorHAnsi" w:hAnsiTheme="minorHAnsi" w:cstheme="minorHAnsi"/>
          <w:color w:val="000000"/>
          <w:sz w:val="24"/>
          <w:szCs w:val="24"/>
          <w:shd w:val="clear" w:color="auto" w:fill="FFFFFF"/>
        </w:rPr>
        <w:t xml:space="preserve"> use. The model considers infectiousness and partnering practices of diagnosed and undiagnosed persons with HIV infection, viral suppression rates, and transmission to </w:t>
      </w:r>
      <w:r w:rsidR="003F5158" w:rsidRPr="003F5158">
        <w:rPr>
          <w:rFonts w:asciiTheme="minorHAnsi" w:hAnsiTheme="minorHAnsi" w:cstheme="minorHAnsi"/>
          <w:color w:val="000000"/>
          <w:sz w:val="24"/>
          <w:szCs w:val="24"/>
          <w:shd w:val="clear" w:color="auto" w:fill="FFFFFF"/>
        </w:rPr>
        <w:lastRenderedPageBreak/>
        <w:t xml:space="preserve">uninfected people having low, moderate, or high numbers of partners. Model parameters for SF were derived from surveillance, local research on </w:t>
      </w:r>
      <w:proofErr w:type="spellStart"/>
      <w:r w:rsidR="003F5158" w:rsidRPr="003F5158">
        <w:rPr>
          <w:rFonts w:asciiTheme="minorHAnsi" w:hAnsiTheme="minorHAnsi" w:cstheme="minorHAnsi"/>
          <w:color w:val="000000"/>
          <w:sz w:val="24"/>
          <w:szCs w:val="24"/>
          <w:shd w:val="clear" w:color="auto" w:fill="FFFFFF"/>
        </w:rPr>
        <w:t>seroadaptive</w:t>
      </w:r>
      <w:proofErr w:type="spellEnd"/>
      <w:r w:rsidR="003F5158" w:rsidRPr="003F5158">
        <w:rPr>
          <w:rFonts w:asciiTheme="minorHAnsi" w:hAnsiTheme="minorHAnsi" w:cstheme="minorHAnsi"/>
          <w:color w:val="000000"/>
          <w:sz w:val="24"/>
          <w:szCs w:val="24"/>
          <w:shd w:val="clear" w:color="auto" w:fill="FFFFFF"/>
        </w:rPr>
        <w:t xml:space="preserve"> behaviors, and SF-specific data from cohort studies, including the </w:t>
      </w:r>
      <w:proofErr w:type="spellStart"/>
      <w:r w:rsidR="003F5158" w:rsidRPr="003F5158">
        <w:rPr>
          <w:rFonts w:asciiTheme="minorHAnsi" w:hAnsiTheme="minorHAnsi" w:cstheme="minorHAnsi"/>
          <w:color w:val="000000"/>
          <w:sz w:val="24"/>
          <w:szCs w:val="24"/>
          <w:shd w:val="clear" w:color="auto" w:fill="FFFFFF"/>
        </w:rPr>
        <w:t>iPrEx</w:t>
      </w:r>
      <w:proofErr w:type="spellEnd"/>
      <w:r w:rsidR="003F5158" w:rsidRPr="003F5158">
        <w:rPr>
          <w:rFonts w:asciiTheme="minorHAnsi" w:hAnsiTheme="minorHAnsi" w:cstheme="minorHAnsi"/>
          <w:color w:val="000000"/>
          <w:sz w:val="24"/>
          <w:szCs w:val="24"/>
          <w:shd w:val="clear" w:color="auto" w:fill="FFFFFF"/>
        </w:rPr>
        <w:t xml:space="preserve"> Open Label Extension (OLE). Adherence in OLE was monitored by drug concentrations in dried blood spots and mapped to efficacy using global </w:t>
      </w:r>
      <w:proofErr w:type="spellStart"/>
      <w:r w:rsidR="003F5158" w:rsidRPr="003F5158">
        <w:rPr>
          <w:rFonts w:asciiTheme="minorHAnsi" w:hAnsiTheme="minorHAnsi" w:cstheme="minorHAnsi"/>
          <w:color w:val="000000"/>
          <w:sz w:val="24"/>
          <w:szCs w:val="24"/>
          <w:shd w:val="clear" w:color="auto" w:fill="FFFFFF"/>
        </w:rPr>
        <w:t>iPrEx</w:t>
      </w:r>
      <w:proofErr w:type="spellEnd"/>
      <w:r w:rsidR="003F5158" w:rsidRPr="003F5158">
        <w:rPr>
          <w:rFonts w:asciiTheme="minorHAnsi" w:hAnsiTheme="minorHAnsi" w:cstheme="minorHAnsi"/>
          <w:color w:val="000000"/>
          <w:sz w:val="24"/>
          <w:szCs w:val="24"/>
          <w:shd w:val="clear" w:color="auto" w:fill="FFFFFF"/>
        </w:rPr>
        <w:t xml:space="preserve"> data. The optimistic scenario assumes </w:t>
      </w:r>
      <w:proofErr w:type="spellStart"/>
      <w:r w:rsidR="003F5158" w:rsidRPr="003F5158">
        <w:rPr>
          <w:rFonts w:asciiTheme="minorHAnsi" w:hAnsiTheme="minorHAnsi" w:cstheme="minorHAnsi"/>
          <w:color w:val="000000"/>
          <w:sz w:val="24"/>
          <w:szCs w:val="24"/>
          <w:shd w:val="clear" w:color="auto" w:fill="FFFFFF"/>
        </w:rPr>
        <w:t>PrEP</w:t>
      </w:r>
      <w:proofErr w:type="spellEnd"/>
      <w:r w:rsidR="003F5158" w:rsidRPr="003F5158">
        <w:rPr>
          <w:rFonts w:asciiTheme="minorHAnsi" w:hAnsiTheme="minorHAnsi" w:cstheme="minorHAnsi"/>
          <w:color w:val="000000"/>
          <w:sz w:val="24"/>
          <w:szCs w:val="24"/>
          <w:shd w:val="clear" w:color="auto" w:fill="FFFFFF"/>
        </w:rPr>
        <w:t xml:space="preserve"> uptake will attract and retain people with higher exposure to HIV, as was observed at SF's OLE site. The realistic scenario assumes incidence rates that are typically observed in SF cohorts that did not include access to </w:t>
      </w:r>
      <w:proofErr w:type="spellStart"/>
      <w:r w:rsidR="003F5158" w:rsidRPr="003F5158">
        <w:rPr>
          <w:rFonts w:asciiTheme="minorHAnsi" w:hAnsiTheme="minorHAnsi" w:cstheme="minorHAnsi"/>
          <w:color w:val="000000"/>
          <w:sz w:val="24"/>
          <w:szCs w:val="24"/>
          <w:shd w:val="clear" w:color="auto" w:fill="FFFFFF"/>
        </w:rPr>
        <w:t>PrEP.</w:t>
      </w:r>
      <w:proofErr w:type="spellEnd"/>
    </w:p>
    <w:p w14:paraId="79235E89" w14:textId="1889B635" w:rsidR="00E13B53" w:rsidRPr="00A57FA3" w:rsidRDefault="00E13B53" w:rsidP="00E13B53">
      <w:pPr>
        <w:ind w:left="820" w:right="257" w:hanging="360"/>
        <w:rPr>
          <w:rFonts w:asciiTheme="minorHAnsi" w:eastAsia="Calibri" w:hAnsiTheme="minorHAnsi" w:cs="Calibri"/>
          <w:sz w:val="24"/>
          <w:szCs w:val="24"/>
        </w:rPr>
      </w:pPr>
      <w:r>
        <w:rPr>
          <w:rFonts w:asciiTheme="minorHAnsi" w:eastAsia="Calibri" w:hAnsiTheme="minorHAnsi" w:cs="Calibri"/>
          <w:spacing w:val="1"/>
          <w:sz w:val="24"/>
          <w:szCs w:val="24"/>
        </w:rPr>
        <w:t>4</w:t>
      </w:r>
      <w:r w:rsidRPr="00A57FA3">
        <w:rPr>
          <w:rFonts w:asciiTheme="minorHAnsi" w:eastAsia="Calibri" w:hAnsiTheme="minorHAnsi" w:cs="Calibri"/>
          <w:sz w:val="24"/>
          <w:szCs w:val="24"/>
        </w:rPr>
        <w:t xml:space="preserve">. </w:t>
      </w:r>
      <w:proofErr w:type="spellStart"/>
      <w:r>
        <w:rPr>
          <w:rFonts w:asciiTheme="minorHAnsi" w:eastAsia="Calibri" w:hAnsiTheme="minorHAnsi" w:cs="Calibri"/>
          <w:sz w:val="24"/>
          <w:szCs w:val="24"/>
        </w:rPr>
        <w:t>Scanlin</w:t>
      </w:r>
      <w:proofErr w:type="spellEnd"/>
      <w:r>
        <w:rPr>
          <w:rFonts w:asciiTheme="minorHAnsi" w:eastAsia="Calibri" w:hAnsiTheme="minorHAnsi" w:cs="Calibri"/>
          <w:sz w:val="24"/>
          <w:szCs w:val="24"/>
        </w:rPr>
        <w:t xml:space="preserve">, K.K., </w:t>
      </w:r>
      <w:proofErr w:type="spellStart"/>
      <w:r>
        <w:rPr>
          <w:rFonts w:asciiTheme="minorHAnsi" w:eastAsia="Calibri" w:hAnsiTheme="minorHAnsi" w:cs="Calibri"/>
          <w:sz w:val="24"/>
          <w:szCs w:val="24"/>
        </w:rPr>
        <w:t>Salcuni</w:t>
      </w:r>
      <w:proofErr w:type="spellEnd"/>
      <w:r>
        <w:rPr>
          <w:rFonts w:asciiTheme="minorHAnsi" w:eastAsia="Calibri" w:hAnsiTheme="minorHAnsi" w:cs="Calibri"/>
          <w:sz w:val="24"/>
          <w:szCs w:val="24"/>
        </w:rPr>
        <w:t xml:space="preserve">, P.M., </w:t>
      </w:r>
      <w:proofErr w:type="spellStart"/>
      <w:r>
        <w:rPr>
          <w:rFonts w:asciiTheme="minorHAnsi" w:eastAsia="Calibri" w:hAnsiTheme="minorHAnsi" w:cs="Calibri"/>
          <w:sz w:val="24"/>
          <w:szCs w:val="24"/>
        </w:rPr>
        <w:t>Edestein</w:t>
      </w:r>
      <w:proofErr w:type="spellEnd"/>
      <w:r>
        <w:rPr>
          <w:rFonts w:asciiTheme="minorHAnsi" w:eastAsia="Calibri" w:hAnsiTheme="minorHAnsi" w:cs="Calibri"/>
          <w:sz w:val="24"/>
          <w:szCs w:val="24"/>
        </w:rPr>
        <w:t xml:space="preserve">, Z.R., </w:t>
      </w:r>
      <w:proofErr w:type="spellStart"/>
      <w:r>
        <w:rPr>
          <w:rFonts w:asciiTheme="minorHAnsi" w:eastAsia="Calibri" w:hAnsiTheme="minorHAnsi" w:cs="Calibri"/>
          <w:sz w:val="24"/>
          <w:szCs w:val="24"/>
        </w:rPr>
        <w:t>Daskalasis</w:t>
      </w:r>
      <w:proofErr w:type="spellEnd"/>
      <w:r>
        <w:rPr>
          <w:rFonts w:asciiTheme="minorHAnsi" w:eastAsia="Calibri" w:hAnsiTheme="minorHAnsi" w:cs="Calibri"/>
          <w:sz w:val="24"/>
          <w:szCs w:val="24"/>
        </w:rPr>
        <w:t xml:space="preserve">, D.C., et al. Increasing </w:t>
      </w:r>
      <w:proofErr w:type="spellStart"/>
      <w:r>
        <w:rPr>
          <w:rFonts w:asciiTheme="minorHAnsi" w:eastAsia="Calibri" w:hAnsiTheme="minorHAnsi" w:cs="Calibri"/>
          <w:sz w:val="24"/>
          <w:szCs w:val="24"/>
        </w:rPr>
        <w:t>PrEP</w:t>
      </w:r>
      <w:proofErr w:type="spellEnd"/>
      <w:r>
        <w:rPr>
          <w:rFonts w:asciiTheme="minorHAnsi" w:eastAsia="Calibri" w:hAnsiTheme="minorHAnsi" w:cs="Calibri"/>
          <w:sz w:val="24"/>
          <w:szCs w:val="24"/>
        </w:rPr>
        <w:t xml:space="preserve"> Use Among Men Who Have Sex </w:t>
      </w:r>
      <w:proofErr w:type="gramStart"/>
      <w:r>
        <w:rPr>
          <w:rFonts w:asciiTheme="minorHAnsi" w:eastAsia="Calibri" w:hAnsiTheme="minorHAnsi" w:cs="Calibri"/>
          <w:sz w:val="24"/>
          <w:szCs w:val="24"/>
        </w:rPr>
        <w:t>With</w:t>
      </w:r>
      <w:proofErr w:type="gramEnd"/>
      <w:r>
        <w:rPr>
          <w:rFonts w:asciiTheme="minorHAnsi" w:eastAsia="Calibri" w:hAnsiTheme="minorHAnsi" w:cs="Calibri"/>
          <w:sz w:val="24"/>
          <w:szCs w:val="24"/>
        </w:rPr>
        <w:t xml:space="preserve"> Men.</w:t>
      </w:r>
      <w:r w:rsidRPr="00A57FA3">
        <w:rPr>
          <w:rFonts w:asciiTheme="minorHAnsi" w:eastAsia="Calibri" w:hAnsiTheme="minorHAnsi" w:cstheme="minorHAnsi"/>
          <w:sz w:val="24"/>
          <w:szCs w:val="24"/>
        </w:rPr>
        <w:t xml:space="preserve"> </w:t>
      </w:r>
      <w:r>
        <w:rPr>
          <w:rFonts w:asciiTheme="minorHAnsi" w:eastAsia="Calibri" w:hAnsiTheme="minorHAnsi" w:cstheme="minorHAnsi"/>
          <w:sz w:val="24"/>
          <w:szCs w:val="24"/>
        </w:rPr>
        <w:t>23</w:t>
      </w:r>
      <w:r w:rsidRPr="00E13B53">
        <w:rPr>
          <w:rFonts w:asciiTheme="minorHAnsi" w:eastAsia="Calibri" w:hAnsiTheme="minorHAnsi" w:cstheme="minorHAnsi"/>
          <w:sz w:val="24"/>
          <w:szCs w:val="24"/>
          <w:vertAlign w:val="superscript"/>
        </w:rPr>
        <w:t>rd</w:t>
      </w:r>
      <w:r>
        <w:rPr>
          <w:rFonts w:asciiTheme="minorHAnsi" w:eastAsia="Calibri" w:hAnsiTheme="minorHAnsi" w:cstheme="minorHAnsi"/>
          <w:sz w:val="24"/>
          <w:szCs w:val="24"/>
        </w:rPr>
        <w:t xml:space="preserve"> </w:t>
      </w:r>
      <w:r w:rsidRPr="006635C2">
        <w:rPr>
          <w:rFonts w:asciiTheme="minorHAnsi" w:eastAsia="Calibri" w:hAnsiTheme="minorHAnsi" w:cstheme="minorHAnsi"/>
          <w:sz w:val="24"/>
          <w:szCs w:val="24"/>
        </w:rPr>
        <w:t xml:space="preserve">Conference on Retroviruses and Opportunistic Infections. </w:t>
      </w:r>
      <w:r>
        <w:rPr>
          <w:rFonts w:asciiTheme="minorHAnsi" w:eastAsia="Calibri" w:hAnsiTheme="minorHAnsi" w:cstheme="minorHAnsi"/>
          <w:sz w:val="24"/>
          <w:szCs w:val="24"/>
        </w:rPr>
        <w:t>February 22-25, 2016. Boston, MA. Abstract 888.</w:t>
      </w:r>
    </w:p>
    <w:p w14:paraId="3FBE0DC7" w14:textId="426EF5DD" w:rsidR="00E13B53" w:rsidRDefault="00E13B53" w:rsidP="00E13B53">
      <w:pPr>
        <w:tabs>
          <w:tab w:val="left" w:pos="1540"/>
        </w:tabs>
        <w:spacing w:before="3" w:line="280" w:lineRule="exact"/>
        <w:ind w:left="1540" w:right="112" w:hanging="360"/>
        <w:jc w:val="both"/>
        <w:rPr>
          <w:rFonts w:asciiTheme="minorHAnsi" w:hAnsiTheme="minorHAnsi" w:cstheme="minorHAnsi"/>
          <w:color w:val="000000"/>
          <w:sz w:val="24"/>
          <w:szCs w:val="24"/>
          <w:shd w:val="clear" w:color="auto" w:fill="FFFFFF"/>
        </w:rPr>
      </w:pPr>
      <w:r w:rsidRPr="00A57FA3">
        <w:rPr>
          <w:rFonts w:asciiTheme="minorHAnsi" w:hAnsiTheme="minorHAnsi"/>
          <w:sz w:val="24"/>
          <w:szCs w:val="24"/>
        </w:rPr>
        <w:tab/>
      </w:r>
      <w:r w:rsidRPr="00E13B53">
        <w:rPr>
          <w:rFonts w:asciiTheme="minorHAnsi" w:hAnsiTheme="minorHAnsi" w:cstheme="minorHAnsi"/>
          <w:color w:val="000000"/>
          <w:sz w:val="24"/>
          <w:szCs w:val="24"/>
          <w:shd w:val="clear" w:color="auto" w:fill="FFFFFF"/>
        </w:rPr>
        <w:t xml:space="preserve">Since 2012, the New York City (NYC) Department of Health and its partners have launched programs to support </w:t>
      </w:r>
      <w:proofErr w:type="spellStart"/>
      <w:r w:rsidRPr="00E13B53">
        <w:rPr>
          <w:rFonts w:asciiTheme="minorHAnsi" w:hAnsiTheme="minorHAnsi" w:cstheme="minorHAnsi"/>
          <w:color w:val="000000"/>
          <w:sz w:val="24"/>
          <w:szCs w:val="24"/>
          <w:shd w:val="clear" w:color="auto" w:fill="FFFFFF"/>
        </w:rPr>
        <w:t>PrEP</w:t>
      </w:r>
      <w:proofErr w:type="spellEnd"/>
      <w:r w:rsidRPr="00E13B53">
        <w:rPr>
          <w:rFonts w:asciiTheme="minorHAnsi" w:hAnsiTheme="minorHAnsi" w:cstheme="minorHAnsi"/>
          <w:color w:val="000000"/>
          <w:sz w:val="24"/>
          <w:szCs w:val="24"/>
          <w:shd w:val="clear" w:color="auto" w:fill="FFFFFF"/>
        </w:rPr>
        <w:t xml:space="preserve"> uptake. Using data from routine behavioral surveillance among men who have sex with men (MSM), </w:t>
      </w:r>
      <w:r w:rsidR="00481E42">
        <w:rPr>
          <w:rFonts w:asciiTheme="minorHAnsi" w:hAnsiTheme="minorHAnsi" w:cstheme="minorHAnsi"/>
          <w:color w:val="000000"/>
          <w:sz w:val="24"/>
          <w:szCs w:val="24"/>
          <w:shd w:val="clear" w:color="auto" w:fill="FFFFFF"/>
        </w:rPr>
        <w:t>study investigators</w:t>
      </w:r>
      <w:r w:rsidRPr="00E13B53">
        <w:rPr>
          <w:rFonts w:asciiTheme="minorHAnsi" w:hAnsiTheme="minorHAnsi" w:cstheme="minorHAnsi"/>
          <w:color w:val="000000"/>
          <w:sz w:val="24"/>
          <w:szCs w:val="24"/>
          <w:shd w:val="clear" w:color="auto" w:fill="FFFFFF"/>
        </w:rPr>
        <w:t xml:space="preserve"> examined recent trends and associat</w:t>
      </w:r>
      <w:r>
        <w:rPr>
          <w:rFonts w:asciiTheme="minorHAnsi" w:hAnsiTheme="minorHAnsi" w:cstheme="minorHAnsi"/>
          <w:color w:val="000000"/>
          <w:sz w:val="24"/>
          <w:szCs w:val="24"/>
          <w:shd w:val="clear" w:color="auto" w:fill="FFFFFF"/>
        </w:rPr>
        <w:t xml:space="preserve">ions with </w:t>
      </w:r>
      <w:proofErr w:type="spellStart"/>
      <w:r>
        <w:rPr>
          <w:rFonts w:asciiTheme="minorHAnsi" w:hAnsiTheme="minorHAnsi" w:cstheme="minorHAnsi"/>
          <w:color w:val="000000"/>
          <w:sz w:val="24"/>
          <w:szCs w:val="24"/>
          <w:shd w:val="clear" w:color="auto" w:fill="FFFFFF"/>
        </w:rPr>
        <w:t>PrEP</w:t>
      </w:r>
      <w:proofErr w:type="spellEnd"/>
      <w:r>
        <w:rPr>
          <w:rFonts w:asciiTheme="minorHAnsi" w:hAnsiTheme="minorHAnsi" w:cstheme="minorHAnsi"/>
          <w:color w:val="000000"/>
          <w:sz w:val="24"/>
          <w:szCs w:val="24"/>
          <w:shd w:val="clear" w:color="auto" w:fill="FFFFFF"/>
        </w:rPr>
        <w:t xml:space="preserve"> use. </w:t>
      </w:r>
      <w:r w:rsidRPr="00E13B53">
        <w:rPr>
          <w:rFonts w:asciiTheme="minorHAnsi" w:hAnsiTheme="minorHAnsi" w:cstheme="minorHAnsi"/>
          <w:color w:val="000000"/>
          <w:sz w:val="24"/>
          <w:szCs w:val="24"/>
          <w:shd w:val="clear" w:color="auto" w:fill="FFFFFF"/>
        </w:rPr>
        <w:t xml:space="preserve">Data were derived from annual surveys conducted in-person and online, 2013-2015. Eligible respondents were NYC residents, who were born male, aged 18-40, and reported anal sex with a man (past 6 months). This analysis excluded those who reported being diagnosed with HIV. </w:t>
      </w:r>
      <w:proofErr w:type="spellStart"/>
      <w:r w:rsidRPr="00E13B53">
        <w:rPr>
          <w:rFonts w:asciiTheme="minorHAnsi" w:hAnsiTheme="minorHAnsi" w:cstheme="minorHAnsi"/>
          <w:color w:val="000000"/>
          <w:sz w:val="24"/>
          <w:szCs w:val="24"/>
          <w:shd w:val="clear" w:color="auto" w:fill="FFFFFF"/>
        </w:rPr>
        <w:t>PrEP</w:t>
      </w:r>
      <w:proofErr w:type="spellEnd"/>
      <w:r w:rsidRPr="00E13B53">
        <w:rPr>
          <w:rFonts w:asciiTheme="minorHAnsi" w:hAnsiTheme="minorHAnsi" w:cstheme="minorHAnsi"/>
          <w:color w:val="000000"/>
          <w:sz w:val="24"/>
          <w:szCs w:val="24"/>
          <w:shd w:val="clear" w:color="auto" w:fill="FFFFFF"/>
        </w:rPr>
        <w:t xml:space="preserve"> use was defined as use in the past 6 months. Demographic factors examined included age (18-29/30-40 years), race/ethnicity (black/Hispanic/white/other), education (college degree) and insurance status. Behavioral factors were </w:t>
      </w:r>
      <w:proofErr w:type="spellStart"/>
      <w:r w:rsidRPr="00E13B53">
        <w:rPr>
          <w:rFonts w:asciiTheme="minorHAnsi" w:hAnsiTheme="minorHAnsi" w:cstheme="minorHAnsi"/>
          <w:color w:val="000000"/>
          <w:sz w:val="24"/>
          <w:szCs w:val="24"/>
          <w:shd w:val="clear" w:color="auto" w:fill="FFFFFF"/>
        </w:rPr>
        <w:t>condomless</w:t>
      </w:r>
      <w:proofErr w:type="spellEnd"/>
      <w:r w:rsidRPr="00E13B53">
        <w:rPr>
          <w:rFonts w:asciiTheme="minorHAnsi" w:hAnsiTheme="minorHAnsi" w:cstheme="minorHAnsi"/>
          <w:color w:val="000000"/>
          <w:sz w:val="24"/>
          <w:szCs w:val="24"/>
          <w:shd w:val="clear" w:color="auto" w:fill="FFFFFF"/>
        </w:rPr>
        <w:t xml:space="preserve"> sex or known HIV-positive partner at last sexual encounter and number of </w:t>
      </w:r>
      <w:proofErr w:type="spellStart"/>
      <w:r w:rsidRPr="00E13B53">
        <w:rPr>
          <w:rFonts w:asciiTheme="minorHAnsi" w:hAnsiTheme="minorHAnsi" w:cstheme="minorHAnsi"/>
          <w:color w:val="000000"/>
          <w:sz w:val="24"/>
          <w:szCs w:val="24"/>
          <w:shd w:val="clear" w:color="auto" w:fill="FFFFFF"/>
        </w:rPr>
        <w:t>condomless</w:t>
      </w:r>
      <w:proofErr w:type="spellEnd"/>
      <w:r w:rsidRPr="00E13B53">
        <w:rPr>
          <w:rFonts w:asciiTheme="minorHAnsi" w:hAnsiTheme="minorHAnsi" w:cstheme="minorHAnsi"/>
          <w:color w:val="000000"/>
          <w:sz w:val="24"/>
          <w:szCs w:val="24"/>
          <w:shd w:val="clear" w:color="auto" w:fill="FFFFFF"/>
        </w:rPr>
        <w:t xml:space="preserve"> partners (3 or more) and/or post-exposure prophylaxis (PEP) use in the past 6 months. Using logistic regression, </w:t>
      </w:r>
      <w:r w:rsidR="00481E42">
        <w:rPr>
          <w:rFonts w:asciiTheme="minorHAnsi" w:hAnsiTheme="minorHAnsi" w:cstheme="minorHAnsi"/>
          <w:color w:val="000000"/>
          <w:sz w:val="24"/>
          <w:szCs w:val="24"/>
          <w:shd w:val="clear" w:color="auto" w:fill="FFFFFF"/>
        </w:rPr>
        <w:t>study investigators</w:t>
      </w:r>
      <w:r w:rsidRPr="00E13B53">
        <w:rPr>
          <w:rFonts w:asciiTheme="minorHAnsi" w:hAnsiTheme="minorHAnsi" w:cstheme="minorHAnsi"/>
          <w:color w:val="000000"/>
          <w:sz w:val="24"/>
          <w:szCs w:val="24"/>
          <w:shd w:val="clear" w:color="auto" w:fill="FFFFFF"/>
        </w:rPr>
        <w:t xml:space="preserve"> assessed associations between </w:t>
      </w:r>
      <w:proofErr w:type="spellStart"/>
      <w:r w:rsidRPr="00E13B53">
        <w:rPr>
          <w:rFonts w:asciiTheme="minorHAnsi" w:hAnsiTheme="minorHAnsi" w:cstheme="minorHAnsi"/>
          <w:color w:val="000000"/>
          <w:sz w:val="24"/>
          <w:szCs w:val="24"/>
          <w:shd w:val="clear" w:color="auto" w:fill="FFFFFF"/>
        </w:rPr>
        <w:t>PrEP</w:t>
      </w:r>
      <w:proofErr w:type="spellEnd"/>
      <w:r w:rsidRPr="00E13B53">
        <w:rPr>
          <w:rFonts w:asciiTheme="minorHAnsi" w:hAnsiTheme="minorHAnsi" w:cstheme="minorHAnsi"/>
          <w:color w:val="000000"/>
          <w:sz w:val="24"/>
          <w:szCs w:val="24"/>
          <w:shd w:val="clear" w:color="auto" w:fill="FFFFFF"/>
        </w:rPr>
        <w:t xml:space="preserve"> use and year, factors, and year-factor interaction terms. Those associated </w:t>
      </w:r>
      <w:proofErr w:type="spellStart"/>
      <w:r w:rsidRPr="00E13B53">
        <w:rPr>
          <w:rFonts w:asciiTheme="minorHAnsi" w:hAnsiTheme="minorHAnsi" w:cstheme="minorHAnsi"/>
          <w:color w:val="000000"/>
          <w:sz w:val="24"/>
          <w:szCs w:val="24"/>
          <w:shd w:val="clear" w:color="auto" w:fill="FFFFFF"/>
        </w:rPr>
        <w:t>bivariately</w:t>
      </w:r>
      <w:proofErr w:type="spellEnd"/>
      <w:r w:rsidRPr="00E13B53">
        <w:rPr>
          <w:rFonts w:asciiTheme="minorHAnsi" w:hAnsiTheme="minorHAnsi" w:cstheme="minorHAnsi"/>
          <w:color w:val="000000"/>
          <w:sz w:val="24"/>
          <w:szCs w:val="24"/>
          <w:shd w:val="clear" w:color="auto" w:fill="FFFFFF"/>
        </w:rPr>
        <w:t xml:space="preserve"> (p&lt;0.05) were added to a multivariate model with age, race/ethnicity, insurance, survey type (in-person/online) and year.</w:t>
      </w:r>
    </w:p>
    <w:p w14:paraId="09129728" w14:textId="77777777" w:rsidR="004074A2" w:rsidRDefault="004074A2" w:rsidP="000844FF">
      <w:pPr>
        <w:tabs>
          <w:tab w:val="left" w:pos="1540"/>
        </w:tabs>
        <w:spacing w:before="3" w:line="280" w:lineRule="exact"/>
        <w:ind w:left="1540" w:right="112" w:hanging="360"/>
        <w:jc w:val="both"/>
        <w:rPr>
          <w:rFonts w:asciiTheme="minorHAnsi" w:hAnsiTheme="minorHAnsi" w:cstheme="minorHAnsi"/>
          <w:color w:val="000000"/>
          <w:sz w:val="24"/>
          <w:szCs w:val="24"/>
          <w:shd w:val="clear" w:color="auto" w:fill="FFFFFF"/>
        </w:rPr>
      </w:pPr>
    </w:p>
    <w:p w14:paraId="50B86110" w14:textId="77777777" w:rsidR="00DC3A0A" w:rsidRPr="00EB17C6" w:rsidRDefault="00DC3A0A" w:rsidP="000844FF">
      <w:pPr>
        <w:ind w:left="820" w:right="257" w:hanging="360"/>
        <w:rPr>
          <w:rFonts w:asciiTheme="minorHAnsi" w:eastAsia="Calibri" w:hAnsiTheme="minorHAnsi" w:cs="Calibri"/>
          <w:sz w:val="24"/>
          <w:szCs w:val="24"/>
        </w:rPr>
      </w:pPr>
    </w:p>
    <w:sectPr w:rsidR="00DC3A0A" w:rsidRPr="00EB17C6">
      <w:pgSz w:w="17000" w:h="15840" w:orient="landscape"/>
      <w:pgMar w:top="13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131D1"/>
    <w:multiLevelType w:val="hybridMultilevel"/>
    <w:tmpl w:val="8F72A78E"/>
    <w:lvl w:ilvl="0" w:tplc="ED7EB514">
      <w:start w:val="1"/>
      <w:numFmt w:val="decimal"/>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 w15:restartNumberingAfterBreak="0">
    <w:nsid w:val="1913292F"/>
    <w:multiLevelType w:val="hybridMultilevel"/>
    <w:tmpl w:val="5BE28B76"/>
    <w:lvl w:ilvl="0" w:tplc="0409000F">
      <w:start w:val="1"/>
      <w:numFmt w:val="decimal"/>
      <w:lvlText w:val="%1."/>
      <w:lvlJc w:val="left"/>
      <w:pPr>
        <w:ind w:left="1138" w:hanging="360"/>
      </w:p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2" w15:restartNumberingAfterBreak="0">
    <w:nsid w:val="44B757A4"/>
    <w:multiLevelType w:val="multilevel"/>
    <w:tmpl w:val="D08C151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74215BFB"/>
    <w:multiLevelType w:val="hybridMultilevel"/>
    <w:tmpl w:val="8F72A78E"/>
    <w:lvl w:ilvl="0" w:tplc="ED7EB514">
      <w:start w:val="1"/>
      <w:numFmt w:val="decimal"/>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 w15:restartNumberingAfterBreak="0">
    <w:nsid w:val="78441AF8"/>
    <w:multiLevelType w:val="hybridMultilevel"/>
    <w:tmpl w:val="BA6C7A42"/>
    <w:lvl w:ilvl="0" w:tplc="0409000F">
      <w:start w:val="1"/>
      <w:numFmt w:val="decimal"/>
      <w:lvlText w:val="%1."/>
      <w:lvlJc w:val="left"/>
      <w:pPr>
        <w:ind w:left="1138" w:hanging="360"/>
      </w:p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A0A"/>
    <w:rsid w:val="00011F99"/>
    <w:rsid w:val="000312B3"/>
    <w:rsid w:val="0007231E"/>
    <w:rsid w:val="000844FF"/>
    <w:rsid w:val="000A02ED"/>
    <w:rsid w:val="000F57C1"/>
    <w:rsid w:val="0014498C"/>
    <w:rsid w:val="001768ED"/>
    <w:rsid w:val="001D18EB"/>
    <w:rsid w:val="001E08A6"/>
    <w:rsid w:val="001F2438"/>
    <w:rsid w:val="00200419"/>
    <w:rsid w:val="002335D9"/>
    <w:rsid w:val="00247378"/>
    <w:rsid w:val="00250C35"/>
    <w:rsid w:val="00295F8A"/>
    <w:rsid w:val="002C6F0E"/>
    <w:rsid w:val="003D3F0B"/>
    <w:rsid w:val="003E656A"/>
    <w:rsid w:val="003F5158"/>
    <w:rsid w:val="003F7762"/>
    <w:rsid w:val="004074A2"/>
    <w:rsid w:val="004374F5"/>
    <w:rsid w:val="004532B9"/>
    <w:rsid w:val="00465F96"/>
    <w:rsid w:val="00480E46"/>
    <w:rsid w:val="00481E42"/>
    <w:rsid w:val="0049062C"/>
    <w:rsid w:val="004B68B0"/>
    <w:rsid w:val="004C4C8D"/>
    <w:rsid w:val="004F5020"/>
    <w:rsid w:val="00567400"/>
    <w:rsid w:val="00585866"/>
    <w:rsid w:val="0060430C"/>
    <w:rsid w:val="00607CFF"/>
    <w:rsid w:val="006635C2"/>
    <w:rsid w:val="006A14F2"/>
    <w:rsid w:val="006D0BF4"/>
    <w:rsid w:val="006D1B11"/>
    <w:rsid w:val="007170FF"/>
    <w:rsid w:val="007602EE"/>
    <w:rsid w:val="00775A23"/>
    <w:rsid w:val="007A1AC7"/>
    <w:rsid w:val="007B2C8D"/>
    <w:rsid w:val="007F5466"/>
    <w:rsid w:val="0082203C"/>
    <w:rsid w:val="008728C0"/>
    <w:rsid w:val="008F676F"/>
    <w:rsid w:val="00997BF2"/>
    <w:rsid w:val="00A07C02"/>
    <w:rsid w:val="00A24C22"/>
    <w:rsid w:val="00A26879"/>
    <w:rsid w:val="00A57FA3"/>
    <w:rsid w:val="00B23812"/>
    <w:rsid w:val="00B42D45"/>
    <w:rsid w:val="00BA3DA3"/>
    <w:rsid w:val="00C46831"/>
    <w:rsid w:val="00C773F8"/>
    <w:rsid w:val="00C77DBA"/>
    <w:rsid w:val="00CE07F8"/>
    <w:rsid w:val="00D01808"/>
    <w:rsid w:val="00D20FDE"/>
    <w:rsid w:val="00D5162B"/>
    <w:rsid w:val="00D54391"/>
    <w:rsid w:val="00D96AFB"/>
    <w:rsid w:val="00DC3A0A"/>
    <w:rsid w:val="00E13B53"/>
    <w:rsid w:val="00E45404"/>
    <w:rsid w:val="00E47F07"/>
    <w:rsid w:val="00E51023"/>
    <w:rsid w:val="00E720F5"/>
    <w:rsid w:val="00EB17C6"/>
    <w:rsid w:val="00F16E1C"/>
    <w:rsid w:val="00F56A64"/>
    <w:rsid w:val="00FC0628"/>
    <w:rsid w:val="00FF7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33FFA"/>
  <w15:docId w15:val="{FFA58824-EB53-408A-B3B5-9E5A13A13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7170FF"/>
    <w:rPr>
      <w:color w:val="0000FF" w:themeColor="hyperlink"/>
      <w:u w:val="single"/>
    </w:rPr>
  </w:style>
  <w:style w:type="character" w:styleId="UnresolvedMention">
    <w:name w:val="Unresolved Mention"/>
    <w:basedOn w:val="DefaultParagraphFont"/>
    <w:uiPriority w:val="99"/>
    <w:semiHidden/>
    <w:unhideWhenUsed/>
    <w:rsid w:val="007170FF"/>
    <w:rPr>
      <w:color w:val="808080"/>
      <w:shd w:val="clear" w:color="auto" w:fill="E6E6E6"/>
    </w:rPr>
  </w:style>
  <w:style w:type="paragraph" w:styleId="ListParagraph">
    <w:name w:val="List Paragraph"/>
    <w:basedOn w:val="Normal"/>
    <w:uiPriority w:val="34"/>
    <w:qFormat/>
    <w:rsid w:val="002335D9"/>
    <w:pPr>
      <w:ind w:left="720"/>
      <w:contextualSpacing/>
    </w:pPr>
  </w:style>
  <w:style w:type="paragraph" w:styleId="NormalWeb">
    <w:name w:val="Normal (Web)"/>
    <w:basedOn w:val="Normal"/>
    <w:uiPriority w:val="99"/>
    <w:semiHidden/>
    <w:unhideWhenUsed/>
    <w:rsid w:val="002335D9"/>
    <w:rPr>
      <w:sz w:val="24"/>
      <w:szCs w:val="24"/>
    </w:rPr>
  </w:style>
  <w:style w:type="paragraph" w:styleId="NoSpacing">
    <w:name w:val="No Spacing"/>
    <w:uiPriority w:val="1"/>
    <w:qFormat/>
    <w:rsid w:val="001E0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56297">
      <w:bodyDiv w:val="1"/>
      <w:marLeft w:val="0"/>
      <w:marRight w:val="0"/>
      <w:marTop w:val="0"/>
      <w:marBottom w:val="0"/>
      <w:divBdr>
        <w:top w:val="none" w:sz="0" w:space="0" w:color="auto"/>
        <w:left w:val="none" w:sz="0" w:space="0" w:color="auto"/>
        <w:bottom w:val="none" w:sz="0" w:space="0" w:color="auto"/>
        <w:right w:val="none" w:sz="0" w:space="0" w:color="auto"/>
      </w:divBdr>
    </w:div>
    <w:div w:id="110172004">
      <w:bodyDiv w:val="1"/>
      <w:marLeft w:val="0"/>
      <w:marRight w:val="0"/>
      <w:marTop w:val="0"/>
      <w:marBottom w:val="0"/>
      <w:divBdr>
        <w:top w:val="none" w:sz="0" w:space="0" w:color="auto"/>
        <w:left w:val="none" w:sz="0" w:space="0" w:color="auto"/>
        <w:bottom w:val="none" w:sz="0" w:space="0" w:color="auto"/>
        <w:right w:val="none" w:sz="0" w:space="0" w:color="auto"/>
      </w:divBdr>
    </w:div>
    <w:div w:id="369721126">
      <w:bodyDiv w:val="1"/>
      <w:marLeft w:val="0"/>
      <w:marRight w:val="0"/>
      <w:marTop w:val="0"/>
      <w:marBottom w:val="0"/>
      <w:divBdr>
        <w:top w:val="none" w:sz="0" w:space="0" w:color="auto"/>
        <w:left w:val="none" w:sz="0" w:space="0" w:color="auto"/>
        <w:bottom w:val="none" w:sz="0" w:space="0" w:color="auto"/>
        <w:right w:val="none" w:sz="0" w:space="0" w:color="auto"/>
      </w:divBdr>
    </w:div>
    <w:div w:id="398944345">
      <w:bodyDiv w:val="1"/>
      <w:marLeft w:val="0"/>
      <w:marRight w:val="0"/>
      <w:marTop w:val="0"/>
      <w:marBottom w:val="0"/>
      <w:divBdr>
        <w:top w:val="none" w:sz="0" w:space="0" w:color="auto"/>
        <w:left w:val="none" w:sz="0" w:space="0" w:color="auto"/>
        <w:bottom w:val="none" w:sz="0" w:space="0" w:color="auto"/>
        <w:right w:val="none" w:sz="0" w:space="0" w:color="auto"/>
      </w:divBdr>
    </w:div>
    <w:div w:id="544409446">
      <w:bodyDiv w:val="1"/>
      <w:marLeft w:val="0"/>
      <w:marRight w:val="0"/>
      <w:marTop w:val="0"/>
      <w:marBottom w:val="0"/>
      <w:divBdr>
        <w:top w:val="none" w:sz="0" w:space="0" w:color="auto"/>
        <w:left w:val="none" w:sz="0" w:space="0" w:color="auto"/>
        <w:bottom w:val="none" w:sz="0" w:space="0" w:color="auto"/>
        <w:right w:val="none" w:sz="0" w:space="0" w:color="auto"/>
      </w:divBdr>
    </w:div>
    <w:div w:id="615261872">
      <w:bodyDiv w:val="1"/>
      <w:marLeft w:val="0"/>
      <w:marRight w:val="0"/>
      <w:marTop w:val="0"/>
      <w:marBottom w:val="0"/>
      <w:divBdr>
        <w:top w:val="none" w:sz="0" w:space="0" w:color="auto"/>
        <w:left w:val="none" w:sz="0" w:space="0" w:color="auto"/>
        <w:bottom w:val="none" w:sz="0" w:space="0" w:color="auto"/>
        <w:right w:val="none" w:sz="0" w:space="0" w:color="auto"/>
      </w:divBdr>
    </w:div>
    <w:div w:id="1168251740">
      <w:bodyDiv w:val="1"/>
      <w:marLeft w:val="0"/>
      <w:marRight w:val="0"/>
      <w:marTop w:val="0"/>
      <w:marBottom w:val="0"/>
      <w:divBdr>
        <w:top w:val="none" w:sz="0" w:space="0" w:color="auto"/>
        <w:left w:val="none" w:sz="0" w:space="0" w:color="auto"/>
        <w:bottom w:val="none" w:sz="0" w:space="0" w:color="auto"/>
        <w:right w:val="none" w:sz="0" w:space="0" w:color="auto"/>
      </w:divBdr>
    </w:div>
    <w:div w:id="1291546712">
      <w:bodyDiv w:val="1"/>
      <w:marLeft w:val="0"/>
      <w:marRight w:val="0"/>
      <w:marTop w:val="0"/>
      <w:marBottom w:val="0"/>
      <w:divBdr>
        <w:top w:val="none" w:sz="0" w:space="0" w:color="auto"/>
        <w:left w:val="none" w:sz="0" w:space="0" w:color="auto"/>
        <w:bottom w:val="none" w:sz="0" w:space="0" w:color="auto"/>
        <w:right w:val="none" w:sz="0" w:space="0" w:color="auto"/>
      </w:divBdr>
    </w:div>
    <w:div w:id="1417899294">
      <w:bodyDiv w:val="1"/>
      <w:marLeft w:val="0"/>
      <w:marRight w:val="0"/>
      <w:marTop w:val="0"/>
      <w:marBottom w:val="0"/>
      <w:divBdr>
        <w:top w:val="none" w:sz="0" w:space="0" w:color="auto"/>
        <w:left w:val="none" w:sz="0" w:space="0" w:color="auto"/>
        <w:bottom w:val="none" w:sz="0" w:space="0" w:color="auto"/>
        <w:right w:val="none" w:sz="0" w:space="0" w:color="auto"/>
      </w:divBdr>
    </w:div>
    <w:div w:id="1483623672">
      <w:bodyDiv w:val="1"/>
      <w:marLeft w:val="0"/>
      <w:marRight w:val="0"/>
      <w:marTop w:val="0"/>
      <w:marBottom w:val="0"/>
      <w:divBdr>
        <w:top w:val="none" w:sz="0" w:space="0" w:color="auto"/>
        <w:left w:val="none" w:sz="0" w:space="0" w:color="auto"/>
        <w:bottom w:val="none" w:sz="0" w:space="0" w:color="auto"/>
        <w:right w:val="none" w:sz="0" w:space="0" w:color="auto"/>
      </w:divBdr>
      <w:divsChild>
        <w:div w:id="775756454">
          <w:marLeft w:val="0"/>
          <w:marRight w:val="0"/>
          <w:marTop w:val="0"/>
          <w:marBottom w:val="0"/>
          <w:divBdr>
            <w:top w:val="none" w:sz="0" w:space="0" w:color="auto"/>
            <w:left w:val="none" w:sz="0" w:space="0" w:color="auto"/>
            <w:bottom w:val="none" w:sz="0" w:space="0" w:color="auto"/>
            <w:right w:val="none" w:sz="0" w:space="0" w:color="auto"/>
          </w:divBdr>
        </w:div>
      </w:divsChild>
    </w:div>
    <w:div w:id="1626497191">
      <w:bodyDiv w:val="1"/>
      <w:marLeft w:val="0"/>
      <w:marRight w:val="0"/>
      <w:marTop w:val="0"/>
      <w:marBottom w:val="0"/>
      <w:divBdr>
        <w:top w:val="none" w:sz="0" w:space="0" w:color="auto"/>
        <w:left w:val="none" w:sz="0" w:space="0" w:color="auto"/>
        <w:bottom w:val="none" w:sz="0" w:space="0" w:color="auto"/>
        <w:right w:val="none" w:sz="0" w:space="0" w:color="auto"/>
      </w:divBdr>
    </w:div>
    <w:div w:id="1757632964">
      <w:bodyDiv w:val="1"/>
      <w:marLeft w:val="0"/>
      <w:marRight w:val="0"/>
      <w:marTop w:val="0"/>
      <w:marBottom w:val="0"/>
      <w:divBdr>
        <w:top w:val="none" w:sz="0" w:space="0" w:color="auto"/>
        <w:left w:val="none" w:sz="0" w:space="0" w:color="auto"/>
        <w:bottom w:val="none" w:sz="0" w:space="0" w:color="auto"/>
        <w:right w:val="none" w:sz="0" w:space="0" w:color="auto"/>
      </w:divBdr>
    </w:div>
    <w:div w:id="1760712795">
      <w:bodyDiv w:val="1"/>
      <w:marLeft w:val="0"/>
      <w:marRight w:val="0"/>
      <w:marTop w:val="0"/>
      <w:marBottom w:val="0"/>
      <w:divBdr>
        <w:top w:val="none" w:sz="0" w:space="0" w:color="auto"/>
        <w:left w:val="none" w:sz="0" w:space="0" w:color="auto"/>
        <w:bottom w:val="none" w:sz="0" w:space="0" w:color="auto"/>
        <w:right w:val="none" w:sz="0" w:space="0" w:color="auto"/>
      </w:divBdr>
    </w:div>
    <w:div w:id="1820153239">
      <w:bodyDiv w:val="1"/>
      <w:marLeft w:val="0"/>
      <w:marRight w:val="0"/>
      <w:marTop w:val="0"/>
      <w:marBottom w:val="0"/>
      <w:divBdr>
        <w:top w:val="none" w:sz="0" w:space="0" w:color="auto"/>
        <w:left w:val="none" w:sz="0" w:space="0" w:color="auto"/>
        <w:bottom w:val="none" w:sz="0" w:space="0" w:color="auto"/>
        <w:right w:val="none" w:sz="0" w:space="0" w:color="auto"/>
      </w:divBdr>
      <w:divsChild>
        <w:div w:id="1869443746">
          <w:marLeft w:val="0"/>
          <w:marRight w:val="0"/>
          <w:marTop w:val="0"/>
          <w:marBottom w:val="0"/>
          <w:divBdr>
            <w:top w:val="none" w:sz="0" w:space="0" w:color="auto"/>
            <w:left w:val="none" w:sz="0" w:space="0" w:color="auto"/>
            <w:bottom w:val="none" w:sz="0" w:space="0" w:color="auto"/>
            <w:right w:val="none" w:sz="0" w:space="0" w:color="auto"/>
          </w:divBdr>
        </w:div>
      </w:divsChild>
    </w:div>
    <w:div w:id="1850413884">
      <w:bodyDiv w:val="1"/>
      <w:marLeft w:val="0"/>
      <w:marRight w:val="0"/>
      <w:marTop w:val="0"/>
      <w:marBottom w:val="0"/>
      <w:divBdr>
        <w:top w:val="none" w:sz="0" w:space="0" w:color="auto"/>
        <w:left w:val="none" w:sz="0" w:space="0" w:color="auto"/>
        <w:bottom w:val="none" w:sz="0" w:space="0" w:color="auto"/>
        <w:right w:val="none" w:sz="0" w:space="0" w:color="auto"/>
      </w:divBdr>
    </w:div>
    <w:div w:id="1887372157">
      <w:bodyDiv w:val="1"/>
      <w:marLeft w:val="0"/>
      <w:marRight w:val="0"/>
      <w:marTop w:val="0"/>
      <w:marBottom w:val="0"/>
      <w:divBdr>
        <w:top w:val="none" w:sz="0" w:space="0" w:color="auto"/>
        <w:left w:val="none" w:sz="0" w:space="0" w:color="auto"/>
        <w:bottom w:val="none" w:sz="0" w:space="0" w:color="auto"/>
        <w:right w:val="none" w:sz="0" w:space="0" w:color="auto"/>
      </w:divBdr>
    </w:div>
    <w:div w:id="1924879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x.doi.org/10.1093%2Finfdis%2Fjiw223"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dx.doi.org/10.1371%2Fjournal.pone.0025127"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371/journal.pone.0025828" TargetMode="External"/><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C4FC7623AF6C4BB343DF906F871D68" ma:contentTypeVersion="10" ma:contentTypeDescription="Create a new document." ma:contentTypeScope="" ma:versionID="64f5e55ac7f93d5af65bf7e96b87346a">
  <xsd:schema xmlns:xsd="http://www.w3.org/2001/XMLSchema" xmlns:xs="http://www.w3.org/2001/XMLSchema" xmlns:p="http://schemas.microsoft.com/office/2006/metadata/properties" xmlns:ns2="95034a0c-b3b4-46f3-b50f-033e5eedcbd1" xmlns:ns3="ad82ae81-ee64-4f74-b6b8-25437747f770" targetNamespace="http://schemas.microsoft.com/office/2006/metadata/properties" ma:root="true" ma:fieldsID="8d6c0e691a44bd6810a4db49347401df" ns2:_="" ns3:_="">
    <xsd:import namespace="95034a0c-b3b4-46f3-b50f-033e5eedcbd1"/>
    <xsd:import namespace="ad82ae81-ee64-4f74-b6b8-25437747f7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34a0c-b3b4-46f3-b50f-033e5eedcb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82ae81-ee64-4f74-b6b8-25437747f77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59CB84-BFFC-4123-AD72-6011A2FA62B6}"/>
</file>

<file path=customXml/itemProps2.xml><?xml version="1.0" encoding="utf-8"?>
<ds:datastoreItem xmlns:ds="http://schemas.openxmlformats.org/officeDocument/2006/customXml" ds:itemID="{BD681C0F-CBF0-4D70-AD23-12593E1766E6}"/>
</file>

<file path=customXml/itemProps3.xml><?xml version="1.0" encoding="utf-8"?>
<ds:datastoreItem xmlns:ds="http://schemas.openxmlformats.org/officeDocument/2006/customXml" ds:itemID="{96906C53-5B34-4C5C-92BD-53BF9F447F2C}"/>
</file>

<file path=docProps/app.xml><?xml version="1.0" encoding="utf-8"?>
<Properties xmlns="http://schemas.openxmlformats.org/officeDocument/2006/extended-properties" xmlns:vt="http://schemas.openxmlformats.org/officeDocument/2006/docPropsVTypes">
  <Template>Normal</Template>
  <TotalTime>0</TotalTime>
  <Pages>5</Pages>
  <Words>3187</Words>
  <Characters>17534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Milanes Morejon</dc:creator>
  <cp:lastModifiedBy>Milanes Morejon</cp:lastModifiedBy>
  <cp:revision>2</cp:revision>
  <dcterms:created xsi:type="dcterms:W3CDTF">2019-03-12T02:05:00Z</dcterms:created>
  <dcterms:modified xsi:type="dcterms:W3CDTF">2019-03-12T02:05:00Z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0x010100DBC4FC7623AF6C4BB343DF906F871D68</vt:lpwstr>
  </property>
</Properties>
</file>