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1525"/>
        <w:tblW w:w="10795" w:type="dxa"/>
        <w:tblLayout w:type="fixed"/>
        <w:tblLook w:val="04A0" w:firstRow="1" w:lastRow="0" w:firstColumn="1" w:lastColumn="0" w:noHBand="0" w:noVBand="1"/>
      </w:tblPr>
      <w:tblGrid>
        <w:gridCol w:w="715"/>
        <w:gridCol w:w="4500"/>
        <w:gridCol w:w="5580"/>
      </w:tblGrid>
      <w:tr w:rsidR="008A42C2" w:rsidRPr="00EE12B4" w14:paraId="3772FC93" w14:textId="77777777" w:rsidTr="00690C0C">
        <w:trPr>
          <w:trHeight w:val="347"/>
          <w:tblHeader/>
        </w:trPr>
        <w:tc>
          <w:tcPr>
            <w:tcW w:w="715" w:type="dxa"/>
            <w:shd w:val="clear" w:color="auto" w:fill="4F81BD" w:themeFill="accent1"/>
            <w:vAlign w:val="center"/>
          </w:tcPr>
          <w:p w14:paraId="555429B2" w14:textId="77777777" w:rsidR="008A42C2" w:rsidRPr="00FC74C6" w:rsidRDefault="008A42C2" w:rsidP="00690C0C">
            <w:pPr>
              <w:spacing w:after="120"/>
              <w:jc w:val="center"/>
              <w:rPr>
                <w:color w:val="FFFFFF" w:themeColor="background1"/>
              </w:rPr>
            </w:pPr>
            <w:r w:rsidRPr="00FC74C6">
              <w:rPr>
                <w:color w:val="FFFFFF" w:themeColor="background1"/>
              </w:rPr>
              <w:t>#</w:t>
            </w:r>
          </w:p>
        </w:tc>
        <w:tc>
          <w:tcPr>
            <w:tcW w:w="4500" w:type="dxa"/>
            <w:shd w:val="clear" w:color="auto" w:fill="4F81BD" w:themeFill="accent1"/>
            <w:vAlign w:val="center"/>
          </w:tcPr>
          <w:p w14:paraId="18D07D0A" w14:textId="77777777" w:rsidR="008A42C2" w:rsidRPr="00FC74C6" w:rsidRDefault="008A42C2" w:rsidP="00690C0C">
            <w:pPr>
              <w:spacing w:after="120"/>
              <w:jc w:val="center"/>
              <w:rPr>
                <w:color w:val="FFFFFF" w:themeColor="background1"/>
              </w:rPr>
            </w:pPr>
            <w:r w:rsidRPr="00FC74C6">
              <w:rPr>
                <w:color w:val="FFFFFF" w:themeColor="background1"/>
              </w:rPr>
              <w:t>Questions</w:t>
            </w:r>
          </w:p>
        </w:tc>
        <w:tc>
          <w:tcPr>
            <w:tcW w:w="5580" w:type="dxa"/>
            <w:shd w:val="clear" w:color="auto" w:fill="4F81BD" w:themeFill="accent1"/>
            <w:vAlign w:val="center"/>
          </w:tcPr>
          <w:p w14:paraId="1159A747" w14:textId="77777777" w:rsidR="008A42C2" w:rsidRPr="00FC74C6" w:rsidRDefault="008A42C2" w:rsidP="00690C0C">
            <w:pPr>
              <w:spacing w:after="120"/>
              <w:jc w:val="center"/>
              <w:rPr>
                <w:color w:val="FFFFFF" w:themeColor="background1"/>
              </w:rPr>
            </w:pPr>
            <w:r w:rsidRPr="00FC74C6">
              <w:rPr>
                <w:color w:val="FFFFFF" w:themeColor="background1"/>
              </w:rPr>
              <w:t>Answers</w:t>
            </w:r>
          </w:p>
        </w:tc>
      </w:tr>
      <w:tr w:rsidR="008A42C2" w:rsidRPr="00EE12B4" w14:paraId="40B2312F" w14:textId="77777777" w:rsidTr="00DE2AF3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A09DDFF" w14:textId="2E7C549B" w:rsidR="008A42C2" w:rsidRPr="00EE12B4" w:rsidRDefault="009C7767" w:rsidP="00C856FE">
            <w:pPr>
              <w:spacing w:after="120"/>
              <w:rPr>
                <w:rFonts w:eastAsia="Arial Unicode MS"/>
              </w:rPr>
            </w:pPr>
            <w:bookmarkStart w:id="0" w:name="_Hlk531342534"/>
            <w:r>
              <w:rPr>
                <w:rFonts w:eastAsia="Arial Unicode MS"/>
              </w:rPr>
              <w:t>1</w:t>
            </w:r>
            <w:r w:rsidR="008A42C2" w:rsidRPr="00EE12B4">
              <w:rPr>
                <w:rFonts w:eastAsia="Arial Unicode MS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2796453F" w14:textId="73FE9E2A" w:rsidR="008A42C2" w:rsidRPr="00EE12B4" w:rsidRDefault="00267630" w:rsidP="00A14B72">
            <w:pPr>
              <w:pStyle w:val="NoSpacing"/>
              <w:rPr>
                <w:rFonts w:eastAsia="Arial Unicode MS"/>
              </w:rPr>
            </w:pPr>
            <w:r w:rsidRPr="00267630">
              <w:rPr>
                <w:rFonts w:eastAsia="Arial Unicode MS"/>
              </w:rPr>
              <w:t>Is this webinar available to listen to in the future?</w:t>
            </w:r>
          </w:p>
        </w:tc>
        <w:tc>
          <w:tcPr>
            <w:tcW w:w="5580" w:type="dxa"/>
          </w:tcPr>
          <w:p w14:paraId="4AEB51E9" w14:textId="04E4BD49" w:rsidR="008A42C2" w:rsidRPr="006D6595" w:rsidRDefault="00267630" w:rsidP="00A14B72">
            <w:pPr>
              <w:pStyle w:val="NoSpacing"/>
              <w:rPr>
                <w:rFonts w:eastAsia="Arial Unicode MS"/>
              </w:rPr>
            </w:pPr>
            <w:r w:rsidRPr="00267630">
              <w:rPr>
                <w:rFonts w:eastAsia="Arial Unicode MS"/>
              </w:rPr>
              <w:t xml:space="preserve">The webinar recording is usually available within 1 week of the webinar.  The webinar slides and Q &amp; A are usually posted within 2 weeks.  You can find webinar archives </w:t>
            </w:r>
            <w:hyperlink r:id="rId11" w:history="1">
              <w:r w:rsidR="00D23A56" w:rsidRPr="00D23A56">
                <w:rPr>
                  <w:rStyle w:val="Hyperlink"/>
                  <w:rFonts w:eastAsia="Arial Unicode MS"/>
                </w:rPr>
                <w:t>here</w:t>
              </w:r>
            </w:hyperlink>
            <w:r w:rsidR="00DE2AF3">
              <w:rPr>
                <w:rFonts w:eastAsia="Arial Unicode MS"/>
              </w:rPr>
              <w:t xml:space="preserve">. </w:t>
            </w:r>
            <w:commentRangeStart w:id="1"/>
            <w:commentRangeEnd w:id="1"/>
          </w:p>
        </w:tc>
      </w:tr>
      <w:tr w:rsidR="008A42C2" w:rsidRPr="00EE12B4" w14:paraId="16B43B76" w14:textId="77777777" w:rsidTr="00DE2AF3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0F15B43D" w14:textId="46E78590" w:rsidR="008A42C2" w:rsidRPr="00EE12B4" w:rsidRDefault="009C7767" w:rsidP="00CE3D51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A42C2" w:rsidRPr="00EE12B4">
              <w:rPr>
                <w:rFonts w:eastAsia="Arial Unicode MS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4EB04BAC" w14:textId="09C11DA2" w:rsidR="008A42C2" w:rsidRPr="00EE12B4" w:rsidRDefault="00267630" w:rsidP="00CE3D51">
            <w:pPr>
              <w:pStyle w:val="NoSpacing"/>
              <w:rPr>
                <w:rFonts w:eastAsia="Arial Unicode MS"/>
              </w:rPr>
            </w:pPr>
            <w:r w:rsidRPr="00267630">
              <w:rPr>
                <w:rFonts w:eastAsia="Arial Unicode MS"/>
              </w:rPr>
              <w:t xml:space="preserve">Is there a new RSR Instruction manual available on </w:t>
            </w:r>
            <w:r w:rsidR="001F3804">
              <w:rPr>
                <w:rFonts w:eastAsia="Arial Unicode MS"/>
              </w:rPr>
              <w:t>TargetHIV?</w:t>
            </w:r>
          </w:p>
        </w:tc>
        <w:tc>
          <w:tcPr>
            <w:tcW w:w="5580" w:type="dxa"/>
          </w:tcPr>
          <w:p w14:paraId="5C53D236" w14:textId="5737D6C7" w:rsidR="00BD6C32" w:rsidRDefault="00267630" w:rsidP="00BD6C32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Yes, the 2019 RSR Instruction Manual can be found at </w:t>
            </w:r>
            <w:hyperlink r:id="rId12" w:history="1">
              <w:r w:rsidR="008C5A28">
                <w:rPr>
                  <w:rStyle w:val="Hyperlink"/>
                </w:rPr>
                <w:t>https://targethiv.org/library/rsr-instruction-manual</w:t>
              </w:r>
            </w:hyperlink>
          </w:p>
        </w:tc>
      </w:tr>
      <w:tr w:rsidR="00A34C60" w:rsidRPr="00EE12B4" w14:paraId="7384E6AB" w14:textId="77777777" w:rsidTr="00DE2AF3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1B59C92E" w14:textId="68FD7486" w:rsidR="00A34C60" w:rsidRPr="00EE12B4" w:rsidRDefault="00A34C60" w:rsidP="00A34C60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EE12B4">
              <w:rPr>
                <w:rFonts w:eastAsia="Arial Unicode MS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5E879CBC" w14:textId="792226CD" w:rsidR="00A34C60" w:rsidRPr="00EE12B4" w:rsidRDefault="00A34C60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Where in CAREWare can users enter housing status and housing status collection date?</w:t>
            </w:r>
          </w:p>
        </w:tc>
        <w:tc>
          <w:tcPr>
            <w:tcW w:w="5580" w:type="dxa"/>
          </w:tcPr>
          <w:p w14:paraId="5C66EC52" w14:textId="7E843883" w:rsidR="00A34C60" w:rsidRPr="002240F9" w:rsidRDefault="00717D07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H</w:t>
            </w:r>
            <w:r w:rsidR="00A34C60">
              <w:rPr>
                <w:rFonts w:eastAsia="Arial Unicode MS"/>
              </w:rPr>
              <w:t xml:space="preserve">ousing status and housing status collection date </w:t>
            </w:r>
            <w:r>
              <w:rPr>
                <w:rFonts w:eastAsia="Arial Unicode MS"/>
              </w:rPr>
              <w:t xml:space="preserve">are entered </w:t>
            </w:r>
            <w:r w:rsidR="00C47257">
              <w:rPr>
                <w:rFonts w:eastAsia="Arial Unicode MS"/>
              </w:rPr>
              <w:t xml:space="preserve">in CAREWare </w:t>
            </w:r>
            <w:r>
              <w:rPr>
                <w:rFonts w:eastAsia="Arial Unicode MS"/>
              </w:rPr>
              <w:t xml:space="preserve">as annual screenings under </w:t>
            </w:r>
            <w:r w:rsidR="00A34C60">
              <w:rPr>
                <w:rFonts w:eastAsia="Arial Unicode MS"/>
              </w:rPr>
              <w:t xml:space="preserve">Annual Review. </w:t>
            </w:r>
            <w:r>
              <w:rPr>
                <w:rFonts w:eastAsia="Arial Unicode MS"/>
              </w:rPr>
              <w:t xml:space="preserve"> </w:t>
            </w:r>
            <w:r w:rsidR="00A34C60">
              <w:rPr>
                <w:rFonts w:eastAsia="Arial Unicode MS"/>
              </w:rPr>
              <w:t xml:space="preserve">CAREWare users have already been collecting housing </w:t>
            </w:r>
            <w:r>
              <w:rPr>
                <w:rFonts w:eastAsia="Arial Unicode MS"/>
              </w:rPr>
              <w:t xml:space="preserve">status </w:t>
            </w:r>
            <w:r w:rsidR="00A34C60">
              <w:rPr>
                <w:rFonts w:eastAsia="Arial Unicode MS"/>
              </w:rPr>
              <w:t xml:space="preserve">collection date as a date is required to be entered when a new housing status is added. </w:t>
            </w:r>
            <w:r w:rsidR="00CF3369">
              <w:rPr>
                <w:rFonts w:eastAsia="Arial Unicode MS"/>
              </w:rPr>
              <w:t xml:space="preserve"> You can find more information by reviewing the CAREWare Quick Start #3 at </w:t>
            </w:r>
            <w:hyperlink r:id="rId13" w:history="1">
              <w:r w:rsidR="00CF3369">
                <w:rPr>
                  <w:rStyle w:val="Hyperlink"/>
                </w:rPr>
                <w:t>https://targethiv.org/library/careware-6-quick-start-guides-2019</w:t>
              </w:r>
            </w:hyperlink>
            <w:r w:rsidR="00CF3369">
              <w:t xml:space="preserve">.  </w:t>
            </w:r>
            <w:r w:rsidR="00A34C60">
              <w:rPr>
                <w:rFonts w:eastAsia="Arial Unicode MS"/>
              </w:rPr>
              <w:t xml:space="preserve">For more information about CAREWare, please contact the Help Desk at </w:t>
            </w:r>
            <w:hyperlink r:id="rId14" w:history="1">
              <w:r w:rsidR="00A34C60" w:rsidRPr="00457A44">
                <w:rPr>
                  <w:rStyle w:val="Hyperlink"/>
                  <w:rFonts w:eastAsia="Arial Unicode MS"/>
                </w:rPr>
                <w:t>cwhelp@jprog.com</w:t>
              </w:r>
            </w:hyperlink>
            <w:r w:rsidR="00A34C60">
              <w:rPr>
                <w:rFonts w:eastAsia="Arial Unicode MS"/>
              </w:rPr>
              <w:t xml:space="preserve"> or 877-294-3571.</w:t>
            </w:r>
          </w:p>
        </w:tc>
      </w:tr>
      <w:tr w:rsidR="00A34C60" w:rsidRPr="00EE12B4" w14:paraId="47A18DCA" w14:textId="77777777" w:rsidTr="00DE2AF3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B1419BB" w14:textId="407DEF5D" w:rsidR="00A34C60" w:rsidRDefault="00A34C60" w:rsidP="00A34C60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14:paraId="0D2BFEE4" w14:textId="08ACDF50" w:rsidR="00A34C60" w:rsidRDefault="00A34C60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What does Ryan White-related services mean?</w:t>
            </w:r>
          </w:p>
        </w:tc>
        <w:tc>
          <w:tcPr>
            <w:tcW w:w="5580" w:type="dxa"/>
          </w:tcPr>
          <w:p w14:paraId="6BDE3B9B" w14:textId="24375207" w:rsidR="00A34C60" w:rsidRPr="002240F9" w:rsidRDefault="00891B43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RWHAP-related funding includes any RWHAP-related program income and pharmaceutical rebates. </w:t>
            </w:r>
            <w:r>
              <w:t xml:space="preserve">Please see HRSA HAB </w:t>
            </w:r>
            <w:hyperlink r:id="rId15" w:history="1">
              <w:r w:rsidRPr="003B37C3">
                <w:rPr>
                  <w:rStyle w:val="Hyperlink"/>
                </w:rPr>
                <w:t>PCN 15-03 Clarifications Regarding the Ryan White HIV/AIDS Program and Program Income</w:t>
              </w:r>
            </w:hyperlink>
            <w:r>
              <w:t xml:space="preserve"> and HRSA HAB </w:t>
            </w:r>
            <w:hyperlink r:id="rId16" w:history="1">
              <w:r w:rsidRPr="003B37C3">
                <w:rPr>
                  <w:rStyle w:val="Hyperlink"/>
                </w:rPr>
                <w:t>PCN 15-04 Utilization and Reporting of Pharmaceutical Rebates</w:t>
              </w:r>
            </w:hyperlink>
            <w:r>
              <w:t xml:space="preserve"> for more information on the types of RWHAP-related funding.</w:t>
            </w:r>
            <w:r>
              <w:rPr>
                <w:rFonts w:eastAsia="Arial Unicode MS"/>
              </w:rPr>
              <w:t xml:space="preserve">  </w:t>
            </w:r>
            <w:r w:rsidR="00A34C60">
              <w:rPr>
                <w:rFonts w:eastAsia="Arial Unicode MS"/>
              </w:rPr>
              <w:t xml:space="preserve">Eligible Services Reporting </w:t>
            </w:r>
            <w:r w:rsidR="00A34C60" w:rsidRPr="001F3804">
              <w:rPr>
                <w:rFonts w:eastAsia="Arial Unicode MS"/>
              </w:rPr>
              <w:t>is optional for the 2019 RSR (submitted in 2020) and required for</w:t>
            </w:r>
            <w:r w:rsidR="00A34C60">
              <w:rPr>
                <w:rFonts w:eastAsia="Arial Unicode MS"/>
              </w:rPr>
              <w:t xml:space="preserve"> the </w:t>
            </w:r>
            <w:r>
              <w:rPr>
                <w:rFonts w:eastAsia="Arial Unicode MS"/>
              </w:rPr>
              <w:t xml:space="preserve">2021 </w:t>
            </w:r>
            <w:r w:rsidR="00A34C60">
              <w:rPr>
                <w:rFonts w:eastAsia="Arial Unicode MS"/>
              </w:rPr>
              <w:t xml:space="preserve">RSR (submitted in </w:t>
            </w:r>
            <w:r>
              <w:rPr>
                <w:rFonts w:eastAsia="Arial Unicode MS"/>
              </w:rPr>
              <w:t>2022</w:t>
            </w:r>
            <w:r w:rsidR="00A34C60">
              <w:rPr>
                <w:rFonts w:eastAsia="Arial Unicode MS"/>
              </w:rPr>
              <w:t xml:space="preserve">). You can learn more in DART’s new </w:t>
            </w:r>
            <w:hyperlink r:id="rId17" w:history="1">
              <w:r w:rsidR="00A34C60" w:rsidRPr="001F3804">
                <w:rPr>
                  <w:rStyle w:val="Hyperlink"/>
                  <w:rFonts w:eastAsia="Arial Unicode MS"/>
                </w:rPr>
                <w:t xml:space="preserve">In Focus </w:t>
              </w:r>
              <w:r w:rsidR="00A34C60">
                <w:rPr>
                  <w:rStyle w:val="Hyperlink"/>
                  <w:rFonts w:eastAsia="Arial Unicode MS"/>
                </w:rPr>
                <w:t>D</w:t>
              </w:r>
              <w:r w:rsidR="00A34C60" w:rsidRPr="001F3804">
                <w:rPr>
                  <w:rStyle w:val="Hyperlink"/>
                  <w:rFonts w:eastAsia="Arial Unicode MS"/>
                </w:rPr>
                <w:t>ocument on Eligible Services Reporting</w:t>
              </w:r>
            </w:hyperlink>
            <w:r>
              <w:rPr>
                <w:rFonts w:eastAsia="Arial Unicode MS"/>
              </w:rPr>
              <w:t>.</w:t>
            </w:r>
          </w:p>
        </w:tc>
      </w:tr>
      <w:tr w:rsidR="00A34C60" w:rsidRPr="00EE12B4" w14:paraId="586F54C2" w14:textId="77777777" w:rsidTr="00DE2AF3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4F387152" w14:textId="73A25623" w:rsidR="00A34C60" w:rsidRDefault="00A34C60" w:rsidP="00A34C60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14:paraId="43603B45" w14:textId="24B622A6" w:rsidR="00A34C60" w:rsidRDefault="00A34C60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Can you expand on the 300% FPL requirement from the example scenario?</w:t>
            </w:r>
          </w:p>
        </w:tc>
        <w:tc>
          <w:tcPr>
            <w:tcW w:w="5580" w:type="dxa"/>
          </w:tcPr>
          <w:p w14:paraId="5DCE8FCB" w14:textId="4AA17A76" w:rsidR="00A34C60" w:rsidRPr="002240F9" w:rsidRDefault="00891B43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R</w:t>
            </w:r>
            <w:r w:rsidR="00A34C60">
              <w:rPr>
                <w:rFonts w:eastAsia="Arial Unicode MS"/>
              </w:rPr>
              <w:t xml:space="preserve">equirements </w:t>
            </w:r>
            <w:r>
              <w:rPr>
                <w:rFonts w:eastAsia="Arial Unicode MS"/>
              </w:rPr>
              <w:t>for RWHAP are typically set at the RWHAP recipient level</w:t>
            </w:r>
            <w:r w:rsidR="00A34C60">
              <w:rPr>
                <w:rFonts w:eastAsia="Arial Unicode MS"/>
              </w:rPr>
              <w:t xml:space="preserve">. The most common eligibility requirements are HIV status, income, and residence area. In the example </w:t>
            </w:r>
            <w:r>
              <w:rPr>
                <w:rFonts w:eastAsia="Arial Unicode MS"/>
              </w:rPr>
              <w:t>presented</w:t>
            </w:r>
            <w:r w:rsidR="00A34C60">
              <w:rPr>
                <w:rFonts w:eastAsia="Arial Unicode MS"/>
              </w:rPr>
              <w:t xml:space="preserve">, the recipient had set an income requirement in which clients could not exceed 300% </w:t>
            </w:r>
            <w:r>
              <w:rPr>
                <w:rFonts w:eastAsia="Arial Unicode MS"/>
              </w:rPr>
              <w:t>of the federal poverty level (FPL)</w:t>
            </w:r>
            <w:r w:rsidR="00A34C60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 xml:space="preserve">  This means that any clients with income that exceeded 300% FPL would not be eligible for RWHAP or RWHAP-related funded services.</w:t>
            </w:r>
            <w:r w:rsidR="00A34C60">
              <w:rPr>
                <w:rFonts w:eastAsia="Arial Unicode MS"/>
              </w:rPr>
              <w:t xml:space="preserve"> </w:t>
            </w:r>
            <w:r w:rsidR="007454E5">
              <w:rPr>
                <w:rFonts w:eastAsia="Arial Unicode MS"/>
              </w:rPr>
              <w:t>C</w:t>
            </w:r>
            <w:r w:rsidR="00A34C60">
              <w:rPr>
                <w:rFonts w:eastAsia="Arial Unicode MS"/>
              </w:rPr>
              <w:t xml:space="preserve">heck with your recipient if you’re uncertain of your eligibility requirements. </w:t>
            </w:r>
          </w:p>
        </w:tc>
      </w:tr>
      <w:tr w:rsidR="00A34C60" w:rsidRPr="00EE12B4" w14:paraId="6BD280B0" w14:textId="77777777" w:rsidTr="00DE2AF3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CE22DE7" w14:textId="6FFFA17B" w:rsidR="00A34C60" w:rsidRDefault="00A34C60" w:rsidP="00A34C60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14:paraId="4C07C4C5" w14:textId="184649BC" w:rsidR="00A34C60" w:rsidRDefault="00A34C60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How can I be added to the RSR listserv?</w:t>
            </w:r>
          </w:p>
        </w:tc>
        <w:tc>
          <w:tcPr>
            <w:tcW w:w="5580" w:type="dxa"/>
          </w:tcPr>
          <w:p w14:paraId="611488D7" w14:textId="0918919E" w:rsidR="00A34C60" w:rsidRPr="002240F9" w:rsidRDefault="00C47257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The RSR listserv </w:t>
            </w:r>
            <w:r>
              <w:t xml:space="preserve">provides updates on </w:t>
            </w:r>
            <w:r w:rsidRPr="00C47257">
              <w:rPr>
                <w:rFonts w:eastAsia="Arial Unicode MS"/>
              </w:rPr>
              <w:t>data reporting requirements, system updates, webinars, and new resources.</w:t>
            </w:r>
            <w:r>
              <w:rPr>
                <w:rFonts w:eastAsia="Arial Unicode MS"/>
              </w:rPr>
              <w:t xml:space="preserve"> RWHAP Recipients and Providers can request to be added to the listserv at </w:t>
            </w:r>
            <w:r>
              <w:t xml:space="preserve"> </w:t>
            </w:r>
            <w:hyperlink r:id="rId18" w:history="1">
              <w:r>
                <w:rPr>
                  <w:rStyle w:val="Hyperlink"/>
                </w:rPr>
                <w:t>https://www.targethiv.org/dart/subscribe</w:t>
              </w:r>
            </w:hyperlink>
          </w:p>
        </w:tc>
      </w:tr>
      <w:tr w:rsidR="00A34C60" w:rsidRPr="00EE12B4" w14:paraId="6CB3D779" w14:textId="77777777" w:rsidTr="00DE2AF3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6A726581" w14:textId="4C9212C4" w:rsidR="00A34C60" w:rsidRDefault="00A34C60" w:rsidP="00A34C60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14:paraId="41ACEFF6" w14:textId="79A03EB0" w:rsidR="00A34C60" w:rsidRDefault="00A34C60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What is the best way to test the system to ensure accurate reporting for a lot of data?</w:t>
            </w:r>
          </w:p>
        </w:tc>
        <w:tc>
          <w:tcPr>
            <w:tcW w:w="5580" w:type="dxa"/>
          </w:tcPr>
          <w:p w14:paraId="227E9200" w14:textId="5529EFFB" w:rsidR="00A34C60" w:rsidRPr="002240F9" w:rsidRDefault="00A4771B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The DART Team works with data system vendors that wish to become RSR-ready.  </w:t>
            </w:r>
            <w:r>
              <w:rPr>
                <w:rStyle w:val="Hyperlink"/>
                <w:rFonts w:eastAsia="Arial Unicode MS"/>
                <w:color w:val="auto"/>
                <w:u w:val="none"/>
              </w:rPr>
              <w:t xml:space="preserve">Vendors that wish to test their XML files for compliance and data accuracy can also request </w:t>
            </w:r>
            <w:r>
              <w:rPr>
                <w:rFonts w:eastAsia="Arial Unicode MS"/>
              </w:rPr>
              <w:t xml:space="preserve">an account in the RSR web system.  Contact the DART Team for more information at </w:t>
            </w:r>
            <w:hyperlink r:id="rId19" w:history="1">
              <w:r w:rsidRPr="007C6323">
                <w:rPr>
                  <w:rStyle w:val="Hyperlink"/>
                  <w:rFonts w:eastAsia="Arial Unicode MS"/>
                </w:rPr>
                <w:t>data.ta@caiglobal.org</w:t>
              </w:r>
            </w:hyperlink>
            <w:r>
              <w:rPr>
                <w:rStyle w:val="Hyperlink"/>
                <w:rFonts w:eastAsia="Arial Unicode MS"/>
              </w:rPr>
              <w:t>.</w:t>
            </w:r>
            <w:r w:rsidR="002E40E7">
              <w:rPr>
                <w:rFonts w:eastAsia="Arial Unicode MS"/>
              </w:rPr>
              <w:t xml:space="preserve"> We also encourage you to check out resources on TargetHIV on how to use the </w:t>
            </w:r>
            <w:hyperlink r:id="rId20" w:history="1">
              <w:r w:rsidR="002E40E7" w:rsidRPr="002E40E7">
                <w:rPr>
                  <w:rStyle w:val="Hyperlink"/>
                  <w:rFonts w:eastAsia="Arial Unicode MS"/>
                </w:rPr>
                <w:t>Upload Completeness Report</w:t>
              </w:r>
            </w:hyperlink>
            <w:r w:rsidR="002E40E7">
              <w:rPr>
                <w:rFonts w:eastAsia="Arial Unicode MS"/>
              </w:rPr>
              <w:t xml:space="preserve"> to check your data.</w:t>
            </w:r>
          </w:p>
        </w:tc>
      </w:tr>
      <w:tr w:rsidR="00A34C60" w:rsidRPr="00EE12B4" w14:paraId="09D2C562" w14:textId="77777777" w:rsidTr="00DE2AF3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76D86C3B" w14:textId="0FE53EC8" w:rsidR="00A34C60" w:rsidRDefault="00A34C60" w:rsidP="00A34C60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8.</w:t>
            </w:r>
          </w:p>
        </w:tc>
        <w:tc>
          <w:tcPr>
            <w:tcW w:w="4500" w:type="dxa"/>
            <w:shd w:val="clear" w:color="auto" w:fill="auto"/>
          </w:tcPr>
          <w:p w14:paraId="67BCF7B0" w14:textId="5702B2D9" w:rsidR="00A34C60" w:rsidRDefault="00FC74C6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Will there be a Centricity webinar?</w:t>
            </w:r>
          </w:p>
        </w:tc>
        <w:tc>
          <w:tcPr>
            <w:tcW w:w="5580" w:type="dxa"/>
          </w:tcPr>
          <w:p w14:paraId="5776F646" w14:textId="03CE22EB" w:rsidR="00A34C60" w:rsidRPr="002240F9" w:rsidRDefault="00FC74C6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The DART Team hosts </w:t>
            </w:r>
            <w:r w:rsidR="00891B43">
              <w:rPr>
                <w:rFonts w:eastAsia="Arial Unicode MS"/>
              </w:rPr>
              <w:t>routine</w:t>
            </w:r>
            <w:r>
              <w:rPr>
                <w:rFonts w:eastAsia="Arial Unicode MS"/>
              </w:rPr>
              <w:t xml:space="preserve"> </w:t>
            </w:r>
            <w:r w:rsidR="00891B43">
              <w:rPr>
                <w:rFonts w:eastAsia="Arial Unicode MS"/>
              </w:rPr>
              <w:t xml:space="preserve">webinars </w:t>
            </w:r>
            <w:r>
              <w:rPr>
                <w:rFonts w:eastAsia="Arial Unicode MS"/>
              </w:rPr>
              <w:t xml:space="preserve">with users of some </w:t>
            </w:r>
            <w:r w:rsidR="000748B9">
              <w:rPr>
                <w:rFonts w:eastAsia="Arial Unicode MS"/>
              </w:rPr>
              <w:t xml:space="preserve">electronic health </w:t>
            </w:r>
            <w:proofErr w:type="gramStart"/>
            <w:r w:rsidR="000748B9">
              <w:rPr>
                <w:rFonts w:eastAsia="Arial Unicode MS"/>
              </w:rPr>
              <w:t>record(</w:t>
            </w:r>
            <w:proofErr w:type="gramEnd"/>
            <w:r w:rsidR="000748B9">
              <w:rPr>
                <w:rFonts w:eastAsia="Arial Unicode MS"/>
              </w:rPr>
              <w:t>EHR)</w:t>
            </w:r>
            <w:r>
              <w:rPr>
                <w:rFonts w:eastAsia="Arial Unicode MS"/>
              </w:rPr>
              <w:t xml:space="preserve"> systems</w:t>
            </w:r>
            <w:r w:rsidR="00891B43">
              <w:rPr>
                <w:rFonts w:eastAsia="Arial Unicode MS"/>
              </w:rPr>
              <w:t xml:space="preserve"> </w:t>
            </w:r>
            <w:r w:rsidR="00891B43">
              <w:t xml:space="preserve">and </w:t>
            </w:r>
            <w:r w:rsidR="00891B43" w:rsidRPr="00891B43">
              <w:rPr>
                <w:rFonts w:eastAsia="Arial Unicode MS"/>
              </w:rPr>
              <w:t>then documents and shares the questions and solutions discussed</w:t>
            </w:r>
            <w:r>
              <w:rPr>
                <w:rFonts w:eastAsia="Arial Unicode MS"/>
              </w:rPr>
              <w:t xml:space="preserve">. </w:t>
            </w:r>
            <w:r w:rsidR="000748B9">
              <w:rPr>
                <w:rFonts w:eastAsia="Arial Unicode MS"/>
              </w:rPr>
              <w:t xml:space="preserve"> Webinars to date have included</w:t>
            </w:r>
            <w:r>
              <w:rPr>
                <w:rFonts w:eastAsia="Arial Unicode MS"/>
              </w:rPr>
              <w:t xml:space="preserve"> </w:t>
            </w:r>
            <w:r w:rsidR="000748B9" w:rsidRPr="00C47257">
              <w:rPr>
                <w:rFonts w:eastAsia="Arial Unicode MS"/>
              </w:rPr>
              <w:t>Epic</w:t>
            </w:r>
            <w:r>
              <w:rPr>
                <w:rFonts w:eastAsia="Arial Unicode MS"/>
              </w:rPr>
              <w:t xml:space="preserve">, </w:t>
            </w:r>
            <w:r w:rsidR="000748B9" w:rsidRPr="00C47257">
              <w:rPr>
                <w:rFonts w:eastAsia="Arial Unicode MS"/>
              </w:rPr>
              <w:t>Athena</w:t>
            </w:r>
            <w:r>
              <w:rPr>
                <w:rFonts w:eastAsia="Arial Unicode MS"/>
              </w:rPr>
              <w:t xml:space="preserve">, </w:t>
            </w:r>
            <w:r w:rsidR="000748B9" w:rsidRPr="00C47257">
              <w:rPr>
                <w:rFonts w:eastAsia="Arial Unicode MS"/>
              </w:rPr>
              <w:t>NextGen</w:t>
            </w:r>
            <w:r>
              <w:rPr>
                <w:rFonts w:eastAsia="Arial Unicode MS"/>
              </w:rPr>
              <w:t xml:space="preserve">, and </w:t>
            </w:r>
            <w:r w:rsidR="000748B9" w:rsidRPr="00C47257">
              <w:rPr>
                <w:rFonts w:eastAsia="Arial Unicode MS"/>
              </w:rPr>
              <w:t>eClinicalWorks</w:t>
            </w:r>
            <w:r w:rsidR="00623556">
              <w:rPr>
                <w:rFonts w:eastAsia="Arial Unicode MS"/>
              </w:rPr>
              <w:t xml:space="preserve"> users</w:t>
            </w:r>
            <w:r>
              <w:rPr>
                <w:rFonts w:eastAsia="Arial Unicode MS"/>
              </w:rPr>
              <w:t xml:space="preserve">. </w:t>
            </w:r>
            <w:r w:rsidR="000748B9">
              <w:rPr>
                <w:rFonts w:eastAsia="Arial Unicode MS"/>
              </w:rPr>
              <w:t xml:space="preserve"> New EHR webinars can be added if there is </w:t>
            </w:r>
            <w:proofErr w:type="gramStart"/>
            <w:r>
              <w:rPr>
                <w:rFonts w:eastAsia="Arial Unicode MS"/>
              </w:rPr>
              <w:t>sufficient</w:t>
            </w:r>
            <w:proofErr w:type="gramEnd"/>
            <w:r>
              <w:rPr>
                <w:rFonts w:eastAsia="Arial Unicode MS"/>
              </w:rPr>
              <w:t xml:space="preserve"> interest</w:t>
            </w:r>
            <w:r w:rsidR="000748B9">
              <w:rPr>
                <w:rFonts w:eastAsia="Arial Unicode MS"/>
              </w:rPr>
              <w:t xml:space="preserve">.  Please contact the DART Team at </w:t>
            </w:r>
            <w:hyperlink r:id="rId21" w:history="1">
              <w:r w:rsidRPr="007C6323">
                <w:rPr>
                  <w:rStyle w:val="Hyperlink"/>
                  <w:rFonts w:eastAsia="Arial Unicode MS"/>
                </w:rPr>
                <w:t>data.ta@caiglobal.org</w:t>
              </w:r>
            </w:hyperlink>
            <w:r w:rsidR="000748B9">
              <w:rPr>
                <w:rFonts w:eastAsia="Arial Unicode MS"/>
              </w:rPr>
              <w:t xml:space="preserve"> for more information.</w:t>
            </w:r>
            <w:r w:rsidR="00A4771B">
              <w:rPr>
                <w:rFonts w:eastAsia="Arial Unicode MS"/>
              </w:rPr>
              <w:t xml:space="preserve">  DART EHR resources can be found at </w:t>
            </w:r>
            <w:hyperlink r:id="rId22" w:history="1">
              <w:r w:rsidR="00A4771B">
                <w:rPr>
                  <w:rStyle w:val="Hyperlink"/>
                </w:rPr>
                <w:t>https://targethiv.org/library/ehr-user-resources</w:t>
              </w:r>
            </w:hyperlink>
            <w:r w:rsidR="00A4771B">
              <w:rPr>
                <w:rFonts w:eastAsia="Arial Unicode MS"/>
              </w:rPr>
              <w:t xml:space="preserve">  </w:t>
            </w:r>
          </w:p>
        </w:tc>
      </w:tr>
      <w:tr w:rsidR="00A34C60" w:rsidRPr="00EE12B4" w14:paraId="3678E915" w14:textId="77777777" w:rsidTr="00DE2AF3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46C967D0" w14:textId="30CA4240" w:rsidR="00A34C60" w:rsidRDefault="00A34C60" w:rsidP="00A34C60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4500" w:type="dxa"/>
            <w:shd w:val="clear" w:color="auto" w:fill="auto"/>
          </w:tcPr>
          <w:p w14:paraId="37A06277" w14:textId="4AD02572" w:rsidR="00A34C60" w:rsidRDefault="00FC74C6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What is an RSR-Ready System? Is Epic RSR-Ready?</w:t>
            </w:r>
          </w:p>
        </w:tc>
        <w:tc>
          <w:tcPr>
            <w:tcW w:w="5580" w:type="dxa"/>
          </w:tcPr>
          <w:p w14:paraId="1EEE4926" w14:textId="26FF510D" w:rsidR="00A34C60" w:rsidRPr="002240F9" w:rsidRDefault="00FC74C6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An RSR-Ready System is a </w:t>
            </w:r>
            <w:r w:rsidR="00A4771B">
              <w:rPr>
                <w:rFonts w:eastAsia="Arial Unicode MS"/>
              </w:rPr>
              <w:t>data</w:t>
            </w:r>
            <w:r>
              <w:rPr>
                <w:rFonts w:eastAsia="Arial Unicode MS"/>
              </w:rPr>
              <w:t xml:space="preserve"> system</w:t>
            </w:r>
            <w:r w:rsidR="002E40E7">
              <w:rPr>
                <w:rFonts w:eastAsia="Arial Unicode MS"/>
              </w:rPr>
              <w:t>, including an EHR,</w:t>
            </w:r>
            <w:r>
              <w:rPr>
                <w:rFonts w:eastAsia="Arial Unicode MS"/>
              </w:rPr>
              <w:t xml:space="preserve"> that collects </w:t>
            </w:r>
            <w:r w:rsidR="00A4771B">
              <w:rPr>
                <w:rFonts w:eastAsia="Arial Unicode MS"/>
              </w:rPr>
              <w:t xml:space="preserve">the required </w:t>
            </w:r>
            <w:r>
              <w:rPr>
                <w:rFonts w:eastAsia="Arial Unicode MS"/>
              </w:rPr>
              <w:t>data for RSR reporting</w:t>
            </w:r>
            <w:r w:rsidR="00A4771B">
              <w:rPr>
                <w:rFonts w:eastAsia="Arial Unicode MS"/>
              </w:rPr>
              <w:t xml:space="preserve"> and generates a compliant XML</w:t>
            </w:r>
            <w:r w:rsidR="002E40E7">
              <w:rPr>
                <w:rFonts w:eastAsia="Arial Unicode MS"/>
              </w:rPr>
              <w:t xml:space="preserve"> file or structured data for TRAX</w:t>
            </w:r>
            <w:r w:rsidR="00623556">
              <w:rPr>
                <w:rFonts w:eastAsia="Arial Unicode MS"/>
              </w:rPr>
              <w:t xml:space="preserve">.  </w:t>
            </w:r>
            <w:r>
              <w:rPr>
                <w:rFonts w:eastAsia="Arial Unicode MS"/>
              </w:rPr>
              <w:t>Epic is</w:t>
            </w:r>
            <w:r w:rsidR="00623556">
              <w:rPr>
                <w:rFonts w:eastAsia="Arial Unicode MS"/>
              </w:rPr>
              <w:t xml:space="preserve"> currently not an RSR-Ready system, but they are </w:t>
            </w:r>
            <w:r w:rsidR="002E40E7">
              <w:rPr>
                <w:rFonts w:eastAsia="Arial Unicode MS"/>
              </w:rPr>
              <w:t>working on an RSR module</w:t>
            </w:r>
            <w:r w:rsidR="00623556">
              <w:rPr>
                <w:rFonts w:eastAsia="Arial Unicode MS"/>
              </w:rPr>
              <w:t xml:space="preserve">. </w:t>
            </w:r>
            <w:r>
              <w:rPr>
                <w:rFonts w:eastAsia="Arial Unicode MS"/>
              </w:rPr>
              <w:t xml:space="preserve"> </w:t>
            </w:r>
            <w:r w:rsidR="00623556">
              <w:rPr>
                <w:rFonts w:eastAsia="Arial Unicode MS"/>
              </w:rPr>
              <w:t>Current</w:t>
            </w:r>
            <w:r>
              <w:rPr>
                <w:rFonts w:eastAsia="Arial Unicode MS"/>
              </w:rPr>
              <w:t xml:space="preserve"> RSR-Ready Systems </w:t>
            </w:r>
            <w:r w:rsidR="00623556">
              <w:rPr>
                <w:rFonts w:eastAsia="Arial Unicode MS"/>
              </w:rPr>
              <w:t xml:space="preserve">are </w:t>
            </w:r>
            <w:hyperlink r:id="rId23" w:history="1">
              <w:r w:rsidR="00623556" w:rsidRPr="002E40E7">
                <w:rPr>
                  <w:rStyle w:val="Hyperlink"/>
                  <w:rFonts w:eastAsia="Arial Unicode MS"/>
                </w:rPr>
                <w:t>listed on TargetHIV</w:t>
              </w:r>
            </w:hyperlink>
            <w:r w:rsidR="002E40E7">
              <w:rPr>
                <w:rFonts w:eastAsia="Arial Unicode MS"/>
              </w:rPr>
              <w:t>.</w:t>
            </w:r>
            <w:r w:rsidR="00623556">
              <w:rPr>
                <w:rFonts w:eastAsia="Arial Unicode MS"/>
              </w:rPr>
              <w:t xml:space="preserve"> </w:t>
            </w:r>
            <w:r w:rsidR="002E40E7">
              <w:rPr>
                <w:rFonts w:eastAsia="Arial Unicode MS"/>
              </w:rPr>
              <w:t xml:space="preserve">You should also contact your Epic representative for more information. </w:t>
            </w:r>
          </w:p>
        </w:tc>
      </w:tr>
      <w:tr w:rsidR="00A34C60" w:rsidRPr="00EE12B4" w14:paraId="5C599757" w14:textId="77777777" w:rsidTr="00DE2AF3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11C5856C" w14:textId="3AF0B63C" w:rsidR="00A34C60" w:rsidRDefault="00A34C60" w:rsidP="00A34C60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4500" w:type="dxa"/>
            <w:shd w:val="clear" w:color="auto" w:fill="auto"/>
          </w:tcPr>
          <w:p w14:paraId="619C4265" w14:textId="49E31ED8" w:rsidR="00A34C60" w:rsidRPr="00267630" w:rsidRDefault="00FC74C6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Is NextGen’s Ryan White utility RSR-Ready?</w:t>
            </w:r>
          </w:p>
        </w:tc>
        <w:tc>
          <w:tcPr>
            <w:tcW w:w="5580" w:type="dxa"/>
          </w:tcPr>
          <w:p w14:paraId="42AC0571" w14:textId="7A9A864B" w:rsidR="00A34C60" w:rsidRPr="002240F9" w:rsidRDefault="00FC74C6" w:rsidP="00A34C60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Yes</w:t>
            </w:r>
            <w:r w:rsidR="002E40E7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 xml:space="preserve"> NextGen </w:t>
            </w:r>
            <w:r w:rsidR="002E40E7">
              <w:rPr>
                <w:rFonts w:eastAsia="Arial Unicode MS"/>
              </w:rPr>
              <w:t>is an RSR-Ready System</w:t>
            </w:r>
            <w:r>
              <w:rPr>
                <w:rFonts w:eastAsia="Arial Unicode MS"/>
              </w:rPr>
              <w:t>.</w:t>
            </w:r>
            <w:r w:rsidR="00623556">
              <w:rPr>
                <w:rFonts w:eastAsia="Arial Unicode MS"/>
              </w:rPr>
              <w:t xml:space="preserve"> For more information about the NextGen </w:t>
            </w:r>
            <w:r w:rsidR="002E40E7">
              <w:rPr>
                <w:rFonts w:eastAsia="Arial Unicode MS"/>
              </w:rPr>
              <w:t xml:space="preserve">RSR </w:t>
            </w:r>
            <w:r w:rsidR="00623556">
              <w:rPr>
                <w:rFonts w:eastAsia="Arial Unicode MS"/>
              </w:rPr>
              <w:t xml:space="preserve">utility, contact the representative </w:t>
            </w:r>
            <w:r w:rsidR="002E40E7">
              <w:rPr>
                <w:rFonts w:eastAsia="Arial Unicode MS"/>
              </w:rPr>
              <w:t xml:space="preserve">on the </w:t>
            </w:r>
            <w:hyperlink r:id="rId24" w:history="1">
              <w:r w:rsidR="002E40E7" w:rsidRPr="002E40E7">
                <w:rPr>
                  <w:rStyle w:val="Hyperlink"/>
                  <w:rFonts w:eastAsia="Arial Unicode MS"/>
                </w:rPr>
                <w:t>RSR-Ready System list</w:t>
              </w:r>
            </w:hyperlink>
            <w:r w:rsidR="002E40E7">
              <w:rPr>
                <w:rFonts w:eastAsia="Arial Unicode MS"/>
              </w:rPr>
              <w:t xml:space="preserve"> on</w:t>
            </w:r>
            <w:r w:rsidR="00623556">
              <w:rPr>
                <w:rFonts w:eastAsia="Arial Unicode MS"/>
              </w:rPr>
              <w:t xml:space="preserve"> T</w:t>
            </w:r>
            <w:r w:rsidR="007454E5">
              <w:rPr>
                <w:rFonts w:eastAsia="Arial Unicode MS"/>
              </w:rPr>
              <w:t>arget</w:t>
            </w:r>
            <w:r w:rsidR="00623556">
              <w:rPr>
                <w:rFonts w:eastAsia="Arial Unicode MS"/>
              </w:rPr>
              <w:t>HIV</w:t>
            </w:r>
            <w:r w:rsidR="002E40E7">
              <w:rPr>
                <w:rFonts w:eastAsia="Arial Unicode MS"/>
              </w:rPr>
              <w:t>.</w:t>
            </w:r>
          </w:p>
        </w:tc>
      </w:tr>
    </w:tbl>
    <w:p w14:paraId="4C922901" w14:textId="77777777" w:rsidR="00446EDC" w:rsidRPr="00EE12B4" w:rsidRDefault="00446EDC" w:rsidP="004C0D6B">
      <w:pPr>
        <w:pStyle w:val="NoSpacing"/>
      </w:pPr>
      <w:bookmarkStart w:id="2" w:name="_GoBack"/>
      <w:bookmarkEnd w:id="0"/>
      <w:bookmarkEnd w:id="2"/>
    </w:p>
    <w:sectPr w:rsidR="00446EDC" w:rsidRPr="00EE12B4" w:rsidSect="00C31BC7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E767" w14:textId="77777777" w:rsidR="00783706" w:rsidRDefault="00783706" w:rsidP="005136F1">
      <w:pPr>
        <w:spacing w:after="0" w:line="240" w:lineRule="auto"/>
      </w:pPr>
      <w:r>
        <w:separator/>
      </w:r>
    </w:p>
  </w:endnote>
  <w:endnote w:type="continuationSeparator" w:id="0">
    <w:p w14:paraId="28AFFE1F" w14:textId="77777777" w:rsidR="00783706" w:rsidRDefault="00783706" w:rsidP="0051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199517"/>
      <w:docPartObj>
        <w:docPartGallery w:val="Page Numbers (Bottom of Page)"/>
        <w:docPartUnique/>
      </w:docPartObj>
    </w:sdtPr>
    <w:sdtEndPr/>
    <w:sdtContent>
      <w:p w14:paraId="1F117E27" w14:textId="77777777" w:rsidR="0026057E" w:rsidRDefault="0026057E" w:rsidP="00AA5235">
        <w:pPr>
          <w:pStyle w:val="Footer"/>
          <w:tabs>
            <w:tab w:val="left" w:pos="544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215AA2" w14:textId="77777777" w:rsidR="0026057E" w:rsidRDefault="00260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0D92" w14:textId="77777777" w:rsidR="00783706" w:rsidRDefault="00783706" w:rsidP="005136F1">
      <w:pPr>
        <w:spacing w:after="0" w:line="240" w:lineRule="auto"/>
      </w:pPr>
      <w:r>
        <w:separator/>
      </w:r>
    </w:p>
  </w:footnote>
  <w:footnote w:type="continuationSeparator" w:id="0">
    <w:p w14:paraId="06751028" w14:textId="77777777" w:rsidR="00783706" w:rsidRDefault="00783706" w:rsidP="0051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8818" w14:textId="7677BE21" w:rsidR="0026057E" w:rsidRPr="00C65115" w:rsidRDefault="0026057E" w:rsidP="00C31BC7">
    <w:pPr>
      <w:spacing w:after="120"/>
      <w:rPr>
        <w:rFonts w:asciiTheme="majorHAnsi" w:hAnsiTheme="majorHAnsi"/>
        <w:b/>
      </w:rPr>
    </w:pPr>
    <w:r>
      <w:rPr>
        <w:rFonts w:asciiTheme="majorHAnsi" w:eastAsia="Times New Roman" w:hAnsiTheme="majorHAnsi" w:cs="Arial"/>
        <w:b/>
        <w:bCs/>
        <w:color w:val="000000"/>
      </w:rPr>
      <w:t xml:space="preserve">Q&amp;A Summary for </w:t>
    </w:r>
    <w:r w:rsidR="00CF7A38" w:rsidRPr="00CF7A38">
      <w:rPr>
        <w:rFonts w:asciiTheme="majorHAnsi" w:eastAsia="Times New Roman" w:hAnsiTheme="majorHAnsi" w:cs="Arial"/>
        <w:b/>
        <w:bCs/>
        <w:color w:val="000000"/>
      </w:rPr>
      <w:t>669</w:t>
    </w:r>
    <w:r w:rsidR="00F71EFB">
      <w:rPr>
        <w:rFonts w:asciiTheme="majorHAnsi" w:eastAsia="Times New Roman" w:hAnsiTheme="majorHAnsi" w:cs="Arial"/>
        <w:b/>
        <w:bCs/>
        <w:color w:val="000000"/>
      </w:rPr>
      <w:t xml:space="preserve"> </w:t>
    </w:r>
    <w:r w:rsidR="00670B6C">
      <w:rPr>
        <w:rFonts w:asciiTheme="majorHAnsi" w:eastAsia="Times New Roman" w:hAnsiTheme="majorHAnsi" w:cs="Arial"/>
        <w:b/>
        <w:bCs/>
        <w:color w:val="000000"/>
      </w:rPr>
      <w:t>–</w:t>
    </w:r>
    <w:r w:rsidR="00EC6086">
      <w:rPr>
        <w:rFonts w:asciiTheme="majorHAnsi" w:eastAsia="Times New Roman" w:hAnsiTheme="majorHAnsi" w:cs="Arial"/>
        <w:b/>
        <w:bCs/>
        <w:color w:val="000000"/>
      </w:rPr>
      <w:t xml:space="preserve"> </w:t>
    </w:r>
    <w:r w:rsidR="00690C0C">
      <w:rPr>
        <w:rFonts w:asciiTheme="majorHAnsi" w:eastAsia="Times New Roman" w:hAnsiTheme="majorHAnsi" w:cs="Arial"/>
        <w:b/>
        <w:bCs/>
        <w:color w:val="000000"/>
      </w:rPr>
      <w:t>Prepping for RSR Submission: Key Steps for High-Quality Data</w:t>
    </w:r>
    <w:r w:rsidR="00EC6086">
      <w:rPr>
        <w:rFonts w:asciiTheme="majorHAnsi" w:eastAsia="Times New Roman" w:hAnsiTheme="majorHAnsi" w:cs="Arial"/>
        <w:b/>
        <w:bCs/>
        <w:color w:val="000000"/>
      </w:rPr>
      <w:t xml:space="preserve"> </w:t>
    </w:r>
    <w:r w:rsidR="00690C0C">
      <w:rPr>
        <w:rFonts w:asciiTheme="majorHAnsi" w:eastAsia="Times New Roman" w:hAnsiTheme="majorHAnsi" w:cs="Arial"/>
        <w:b/>
        <w:bCs/>
        <w:color w:val="000000"/>
      </w:rPr>
      <w:t>01</w:t>
    </w:r>
    <w:r w:rsidR="00EC6086">
      <w:rPr>
        <w:rFonts w:asciiTheme="majorHAnsi" w:eastAsia="Times New Roman" w:hAnsiTheme="majorHAnsi" w:cs="Arial"/>
        <w:b/>
        <w:bCs/>
        <w:color w:val="000000"/>
      </w:rPr>
      <w:t>.1</w:t>
    </w:r>
    <w:r w:rsidR="00690C0C">
      <w:rPr>
        <w:rFonts w:asciiTheme="majorHAnsi" w:eastAsia="Times New Roman" w:hAnsiTheme="majorHAnsi" w:cs="Arial"/>
        <w:b/>
        <w:bCs/>
        <w:color w:val="000000"/>
      </w:rPr>
      <w:t>5</w:t>
    </w:r>
    <w:r w:rsidR="00EC6086">
      <w:rPr>
        <w:rFonts w:asciiTheme="majorHAnsi" w:eastAsia="Times New Roman" w:hAnsiTheme="majorHAnsi" w:cs="Arial"/>
        <w:b/>
        <w:bCs/>
        <w:color w:val="000000"/>
      </w:rPr>
      <w:t>.20</w:t>
    </w:r>
    <w:r w:rsidR="00690C0C">
      <w:rPr>
        <w:rFonts w:asciiTheme="majorHAnsi" w:eastAsia="Times New Roman" w:hAnsiTheme="majorHAnsi" w:cs="Arial"/>
        <w:b/>
        <w:bCs/>
        <w:color w:val="000000"/>
      </w:rPr>
      <w:t>20</w:t>
    </w:r>
    <w:r w:rsidR="00670B6C">
      <w:rPr>
        <w:rFonts w:asciiTheme="majorHAnsi" w:eastAsia="Times New Roman" w:hAnsiTheme="majorHAnsi" w:cs="Arial"/>
        <w:b/>
        <w:bCs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F21"/>
    <w:multiLevelType w:val="hybridMultilevel"/>
    <w:tmpl w:val="70447480"/>
    <w:lvl w:ilvl="0" w:tplc="F724B7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D2CE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6B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2CC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AC2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58D8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3009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CC8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FCFE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A202CB5"/>
    <w:multiLevelType w:val="hybridMultilevel"/>
    <w:tmpl w:val="134E19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6788"/>
    <w:multiLevelType w:val="hybridMultilevel"/>
    <w:tmpl w:val="2AB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3180"/>
    <w:multiLevelType w:val="hybridMultilevel"/>
    <w:tmpl w:val="68168268"/>
    <w:lvl w:ilvl="0" w:tplc="6C0468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DE3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A19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EF46E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920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AAF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C480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5CF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6E2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FB551FB"/>
    <w:multiLevelType w:val="hybridMultilevel"/>
    <w:tmpl w:val="0BE2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764"/>
    <w:multiLevelType w:val="hybridMultilevel"/>
    <w:tmpl w:val="FEE891B8"/>
    <w:lvl w:ilvl="0" w:tplc="D5F83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2AE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48E5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B0035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C43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484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6589A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94C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849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FAE71A7"/>
    <w:multiLevelType w:val="hybridMultilevel"/>
    <w:tmpl w:val="E87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A33"/>
    <w:multiLevelType w:val="hybridMultilevel"/>
    <w:tmpl w:val="978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1342"/>
    <w:multiLevelType w:val="hybridMultilevel"/>
    <w:tmpl w:val="119E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54CA"/>
    <w:multiLevelType w:val="hybridMultilevel"/>
    <w:tmpl w:val="3DAE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4004F"/>
    <w:multiLevelType w:val="hybridMultilevel"/>
    <w:tmpl w:val="E86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93"/>
    <w:rsid w:val="0000173A"/>
    <w:rsid w:val="00005024"/>
    <w:rsid w:val="0001052F"/>
    <w:rsid w:val="00011009"/>
    <w:rsid w:val="000146C2"/>
    <w:rsid w:val="000151B2"/>
    <w:rsid w:val="00016404"/>
    <w:rsid w:val="000233AD"/>
    <w:rsid w:val="000342A6"/>
    <w:rsid w:val="000412E2"/>
    <w:rsid w:val="0004649A"/>
    <w:rsid w:val="00047298"/>
    <w:rsid w:val="00057734"/>
    <w:rsid w:val="00065F5E"/>
    <w:rsid w:val="00072310"/>
    <w:rsid w:val="000748B9"/>
    <w:rsid w:val="000761B8"/>
    <w:rsid w:val="0007684C"/>
    <w:rsid w:val="000822BE"/>
    <w:rsid w:val="00085030"/>
    <w:rsid w:val="00091104"/>
    <w:rsid w:val="000950D8"/>
    <w:rsid w:val="0009684F"/>
    <w:rsid w:val="00097D73"/>
    <w:rsid w:val="000A2701"/>
    <w:rsid w:val="000A77AB"/>
    <w:rsid w:val="000B3FCF"/>
    <w:rsid w:val="000B59DF"/>
    <w:rsid w:val="000B7A44"/>
    <w:rsid w:val="000B7A51"/>
    <w:rsid w:val="000C56A1"/>
    <w:rsid w:val="000D19DE"/>
    <w:rsid w:val="000D2841"/>
    <w:rsid w:val="000E1E88"/>
    <w:rsid w:val="000E34AA"/>
    <w:rsid w:val="000E4261"/>
    <w:rsid w:val="000E5EB6"/>
    <w:rsid w:val="000F26B5"/>
    <w:rsid w:val="000F3831"/>
    <w:rsid w:val="000F3CEA"/>
    <w:rsid w:val="000F641C"/>
    <w:rsid w:val="000F6966"/>
    <w:rsid w:val="000F6A8C"/>
    <w:rsid w:val="001000A0"/>
    <w:rsid w:val="00106294"/>
    <w:rsid w:val="0011084F"/>
    <w:rsid w:val="00120EF7"/>
    <w:rsid w:val="001240A2"/>
    <w:rsid w:val="0012602C"/>
    <w:rsid w:val="00135404"/>
    <w:rsid w:val="00145A58"/>
    <w:rsid w:val="00145EA7"/>
    <w:rsid w:val="001503EA"/>
    <w:rsid w:val="00157390"/>
    <w:rsid w:val="00160281"/>
    <w:rsid w:val="00166A80"/>
    <w:rsid w:val="00172D26"/>
    <w:rsid w:val="001760D6"/>
    <w:rsid w:val="001779C0"/>
    <w:rsid w:val="00181374"/>
    <w:rsid w:val="00182508"/>
    <w:rsid w:val="00182E2A"/>
    <w:rsid w:val="00183C6A"/>
    <w:rsid w:val="001873FD"/>
    <w:rsid w:val="00190B74"/>
    <w:rsid w:val="001A0159"/>
    <w:rsid w:val="001A0509"/>
    <w:rsid w:val="001B46B5"/>
    <w:rsid w:val="001B7317"/>
    <w:rsid w:val="001C1049"/>
    <w:rsid w:val="001D2BBD"/>
    <w:rsid w:val="001D58AF"/>
    <w:rsid w:val="001D753D"/>
    <w:rsid w:val="001E3BD5"/>
    <w:rsid w:val="001F3804"/>
    <w:rsid w:val="001F7008"/>
    <w:rsid w:val="002035C6"/>
    <w:rsid w:val="002055A8"/>
    <w:rsid w:val="00210CBF"/>
    <w:rsid w:val="00211036"/>
    <w:rsid w:val="00213A65"/>
    <w:rsid w:val="00215C5F"/>
    <w:rsid w:val="002240F9"/>
    <w:rsid w:val="00224196"/>
    <w:rsid w:val="002425C9"/>
    <w:rsid w:val="00242C4C"/>
    <w:rsid w:val="002430EB"/>
    <w:rsid w:val="00243E6C"/>
    <w:rsid w:val="00244C1F"/>
    <w:rsid w:val="0026057E"/>
    <w:rsid w:val="00267630"/>
    <w:rsid w:val="00270894"/>
    <w:rsid w:val="002731E8"/>
    <w:rsid w:val="00273280"/>
    <w:rsid w:val="0027470C"/>
    <w:rsid w:val="0028199F"/>
    <w:rsid w:val="00294283"/>
    <w:rsid w:val="00295944"/>
    <w:rsid w:val="002A1384"/>
    <w:rsid w:val="002B3B0C"/>
    <w:rsid w:val="002C6A90"/>
    <w:rsid w:val="002D2525"/>
    <w:rsid w:val="002D774A"/>
    <w:rsid w:val="002E1F4B"/>
    <w:rsid w:val="002E322D"/>
    <w:rsid w:val="002E40E7"/>
    <w:rsid w:val="002F2892"/>
    <w:rsid w:val="00303552"/>
    <w:rsid w:val="0030512B"/>
    <w:rsid w:val="003142ED"/>
    <w:rsid w:val="00314DA6"/>
    <w:rsid w:val="0031520C"/>
    <w:rsid w:val="003179DE"/>
    <w:rsid w:val="00321629"/>
    <w:rsid w:val="00322E7F"/>
    <w:rsid w:val="00334D29"/>
    <w:rsid w:val="00340015"/>
    <w:rsid w:val="00352198"/>
    <w:rsid w:val="00352FE9"/>
    <w:rsid w:val="00360F51"/>
    <w:rsid w:val="00371039"/>
    <w:rsid w:val="00373C57"/>
    <w:rsid w:val="003807EB"/>
    <w:rsid w:val="00384BBA"/>
    <w:rsid w:val="00385169"/>
    <w:rsid w:val="003865EC"/>
    <w:rsid w:val="003901C4"/>
    <w:rsid w:val="00390A69"/>
    <w:rsid w:val="003920B9"/>
    <w:rsid w:val="003A0BB6"/>
    <w:rsid w:val="003A15DF"/>
    <w:rsid w:val="003A31BB"/>
    <w:rsid w:val="003A3C65"/>
    <w:rsid w:val="003A70A8"/>
    <w:rsid w:val="003A7F45"/>
    <w:rsid w:val="003B108B"/>
    <w:rsid w:val="003B359D"/>
    <w:rsid w:val="003B3F4F"/>
    <w:rsid w:val="003B5A08"/>
    <w:rsid w:val="003B6C0F"/>
    <w:rsid w:val="003B6FF7"/>
    <w:rsid w:val="003C0850"/>
    <w:rsid w:val="003C2DD6"/>
    <w:rsid w:val="003C614A"/>
    <w:rsid w:val="003C6CE7"/>
    <w:rsid w:val="003C74D0"/>
    <w:rsid w:val="003D1595"/>
    <w:rsid w:val="003D7F3C"/>
    <w:rsid w:val="003E02E4"/>
    <w:rsid w:val="003E193F"/>
    <w:rsid w:val="003E2DED"/>
    <w:rsid w:val="003E70BC"/>
    <w:rsid w:val="0040189B"/>
    <w:rsid w:val="00405073"/>
    <w:rsid w:val="004163D2"/>
    <w:rsid w:val="00421EC4"/>
    <w:rsid w:val="004260AE"/>
    <w:rsid w:val="004278D7"/>
    <w:rsid w:val="0043490B"/>
    <w:rsid w:val="004363E9"/>
    <w:rsid w:val="004376F8"/>
    <w:rsid w:val="00442BEA"/>
    <w:rsid w:val="00446EDC"/>
    <w:rsid w:val="00452618"/>
    <w:rsid w:val="00455568"/>
    <w:rsid w:val="00455E42"/>
    <w:rsid w:val="00456A6D"/>
    <w:rsid w:val="004730CB"/>
    <w:rsid w:val="004736FD"/>
    <w:rsid w:val="00481375"/>
    <w:rsid w:val="004940E3"/>
    <w:rsid w:val="0049421F"/>
    <w:rsid w:val="004A5679"/>
    <w:rsid w:val="004A753B"/>
    <w:rsid w:val="004B08A1"/>
    <w:rsid w:val="004B2A44"/>
    <w:rsid w:val="004B5CDF"/>
    <w:rsid w:val="004B7AAF"/>
    <w:rsid w:val="004C0D6B"/>
    <w:rsid w:val="004C1E24"/>
    <w:rsid w:val="004C4DC6"/>
    <w:rsid w:val="004D29EF"/>
    <w:rsid w:val="004D3F2B"/>
    <w:rsid w:val="004D4D7C"/>
    <w:rsid w:val="004D4DD2"/>
    <w:rsid w:val="004E164E"/>
    <w:rsid w:val="004E3131"/>
    <w:rsid w:val="004E7BD1"/>
    <w:rsid w:val="004F4FF4"/>
    <w:rsid w:val="004F551F"/>
    <w:rsid w:val="00502972"/>
    <w:rsid w:val="00503EDE"/>
    <w:rsid w:val="00510C1B"/>
    <w:rsid w:val="005136F1"/>
    <w:rsid w:val="00514BC2"/>
    <w:rsid w:val="00517B37"/>
    <w:rsid w:val="005215E3"/>
    <w:rsid w:val="00521BE6"/>
    <w:rsid w:val="005224BD"/>
    <w:rsid w:val="005262F0"/>
    <w:rsid w:val="00527CC5"/>
    <w:rsid w:val="0053032B"/>
    <w:rsid w:val="00534733"/>
    <w:rsid w:val="00535687"/>
    <w:rsid w:val="00542466"/>
    <w:rsid w:val="00543DA7"/>
    <w:rsid w:val="005467C3"/>
    <w:rsid w:val="00555553"/>
    <w:rsid w:val="00557D5B"/>
    <w:rsid w:val="00560054"/>
    <w:rsid w:val="0056427D"/>
    <w:rsid w:val="00564575"/>
    <w:rsid w:val="00576638"/>
    <w:rsid w:val="005766F8"/>
    <w:rsid w:val="00586C06"/>
    <w:rsid w:val="00594244"/>
    <w:rsid w:val="005A0484"/>
    <w:rsid w:val="005A168F"/>
    <w:rsid w:val="005A6059"/>
    <w:rsid w:val="005B49E2"/>
    <w:rsid w:val="005C041F"/>
    <w:rsid w:val="005C2216"/>
    <w:rsid w:val="005D4283"/>
    <w:rsid w:val="006065F0"/>
    <w:rsid w:val="0060723A"/>
    <w:rsid w:val="00614B3A"/>
    <w:rsid w:val="00623432"/>
    <w:rsid w:val="00623556"/>
    <w:rsid w:val="00623A57"/>
    <w:rsid w:val="006244CD"/>
    <w:rsid w:val="00624AB9"/>
    <w:rsid w:val="00627C74"/>
    <w:rsid w:val="00632A02"/>
    <w:rsid w:val="00635D91"/>
    <w:rsid w:val="00636A4C"/>
    <w:rsid w:val="006403C8"/>
    <w:rsid w:val="00640BC9"/>
    <w:rsid w:val="00647209"/>
    <w:rsid w:val="006540B2"/>
    <w:rsid w:val="00654FFF"/>
    <w:rsid w:val="00670B6C"/>
    <w:rsid w:val="0067645B"/>
    <w:rsid w:val="0067729D"/>
    <w:rsid w:val="006842ED"/>
    <w:rsid w:val="00690C0C"/>
    <w:rsid w:val="00695623"/>
    <w:rsid w:val="006A4578"/>
    <w:rsid w:val="006A7F95"/>
    <w:rsid w:val="006B216E"/>
    <w:rsid w:val="006B5FC9"/>
    <w:rsid w:val="006C1884"/>
    <w:rsid w:val="006C5F74"/>
    <w:rsid w:val="006D6595"/>
    <w:rsid w:val="006E572C"/>
    <w:rsid w:val="006F05F6"/>
    <w:rsid w:val="006F2BD9"/>
    <w:rsid w:val="007173A3"/>
    <w:rsid w:val="00717D07"/>
    <w:rsid w:val="00717F5E"/>
    <w:rsid w:val="007234B0"/>
    <w:rsid w:val="0072505C"/>
    <w:rsid w:val="00725EA3"/>
    <w:rsid w:val="00727F45"/>
    <w:rsid w:val="00730DFC"/>
    <w:rsid w:val="00733C48"/>
    <w:rsid w:val="007368F0"/>
    <w:rsid w:val="00743C8A"/>
    <w:rsid w:val="00743FA3"/>
    <w:rsid w:val="00744780"/>
    <w:rsid w:val="007454E5"/>
    <w:rsid w:val="00745D0D"/>
    <w:rsid w:val="00752FA7"/>
    <w:rsid w:val="0076143F"/>
    <w:rsid w:val="007624E3"/>
    <w:rsid w:val="007646F9"/>
    <w:rsid w:val="00771000"/>
    <w:rsid w:val="00773D93"/>
    <w:rsid w:val="00780F02"/>
    <w:rsid w:val="00782E86"/>
    <w:rsid w:val="00783706"/>
    <w:rsid w:val="007869D4"/>
    <w:rsid w:val="00793B7A"/>
    <w:rsid w:val="00795B4B"/>
    <w:rsid w:val="00795CB3"/>
    <w:rsid w:val="007A48BF"/>
    <w:rsid w:val="007A5A54"/>
    <w:rsid w:val="007A791D"/>
    <w:rsid w:val="007B7C69"/>
    <w:rsid w:val="007C322E"/>
    <w:rsid w:val="007C7F1E"/>
    <w:rsid w:val="007D1D8D"/>
    <w:rsid w:val="007D6E67"/>
    <w:rsid w:val="007E5F8C"/>
    <w:rsid w:val="007E765E"/>
    <w:rsid w:val="007E78D3"/>
    <w:rsid w:val="007F144F"/>
    <w:rsid w:val="007F2A27"/>
    <w:rsid w:val="007F2FF8"/>
    <w:rsid w:val="007F61E2"/>
    <w:rsid w:val="007F7C42"/>
    <w:rsid w:val="007F7D43"/>
    <w:rsid w:val="0080422B"/>
    <w:rsid w:val="0080491A"/>
    <w:rsid w:val="00804FDA"/>
    <w:rsid w:val="0080517F"/>
    <w:rsid w:val="00805D7C"/>
    <w:rsid w:val="00810623"/>
    <w:rsid w:val="00813158"/>
    <w:rsid w:val="00834023"/>
    <w:rsid w:val="00843571"/>
    <w:rsid w:val="00863816"/>
    <w:rsid w:val="00870017"/>
    <w:rsid w:val="00872B1E"/>
    <w:rsid w:val="0087373F"/>
    <w:rsid w:val="00873BC7"/>
    <w:rsid w:val="00883CE8"/>
    <w:rsid w:val="008861EC"/>
    <w:rsid w:val="0088656C"/>
    <w:rsid w:val="00891B43"/>
    <w:rsid w:val="0089778D"/>
    <w:rsid w:val="008A0B6E"/>
    <w:rsid w:val="008A2DA0"/>
    <w:rsid w:val="008A2DC4"/>
    <w:rsid w:val="008A42C2"/>
    <w:rsid w:val="008A6C97"/>
    <w:rsid w:val="008B38C3"/>
    <w:rsid w:val="008C0CBD"/>
    <w:rsid w:val="008C5A28"/>
    <w:rsid w:val="008D0E16"/>
    <w:rsid w:val="008D51A4"/>
    <w:rsid w:val="008E0DE2"/>
    <w:rsid w:val="008E2E96"/>
    <w:rsid w:val="008E519D"/>
    <w:rsid w:val="008F11EE"/>
    <w:rsid w:val="008F4B59"/>
    <w:rsid w:val="008F4E81"/>
    <w:rsid w:val="0090120D"/>
    <w:rsid w:val="00901A17"/>
    <w:rsid w:val="00902CBD"/>
    <w:rsid w:val="00915D34"/>
    <w:rsid w:val="0092658E"/>
    <w:rsid w:val="009309EB"/>
    <w:rsid w:val="00932DCD"/>
    <w:rsid w:val="00932F4C"/>
    <w:rsid w:val="00944B18"/>
    <w:rsid w:val="00951672"/>
    <w:rsid w:val="00952317"/>
    <w:rsid w:val="00954452"/>
    <w:rsid w:val="009547E2"/>
    <w:rsid w:val="00954BD4"/>
    <w:rsid w:val="00956929"/>
    <w:rsid w:val="009664B2"/>
    <w:rsid w:val="00966696"/>
    <w:rsid w:val="00975F9D"/>
    <w:rsid w:val="009813A8"/>
    <w:rsid w:val="00983844"/>
    <w:rsid w:val="00993628"/>
    <w:rsid w:val="009A2E04"/>
    <w:rsid w:val="009B6B13"/>
    <w:rsid w:val="009B6FBB"/>
    <w:rsid w:val="009C07EB"/>
    <w:rsid w:val="009C5312"/>
    <w:rsid w:val="009C7767"/>
    <w:rsid w:val="009D55BA"/>
    <w:rsid w:val="009D6F3C"/>
    <w:rsid w:val="009D74CE"/>
    <w:rsid w:val="009D798B"/>
    <w:rsid w:val="009E147A"/>
    <w:rsid w:val="009E18A1"/>
    <w:rsid w:val="009E3CA1"/>
    <w:rsid w:val="009E6575"/>
    <w:rsid w:val="009F143B"/>
    <w:rsid w:val="009F7842"/>
    <w:rsid w:val="00A015AC"/>
    <w:rsid w:val="00A0190F"/>
    <w:rsid w:val="00A05B0D"/>
    <w:rsid w:val="00A13400"/>
    <w:rsid w:val="00A138C6"/>
    <w:rsid w:val="00A143F5"/>
    <w:rsid w:val="00A14B72"/>
    <w:rsid w:val="00A1620F"/>
    <w:rsid w:val="00A2006B"/>
    <w:rsid w:val="00A21FB9"/>
    <w:rsid w:val="00A278FE"/>
    <w:rsid w:val="00A34C59"/>
    <w:rsid w:val="00A34C60"/>
    <w:rsid w:val="00A40B78"/>
    <w:rsid w:val="00A41671"/>
    <w:rsid w:val="00A42A78"/>
    <w:rsid w:val="00A440E4"/>
    <w:rsid w:val="00A4771B"/>
    <w:rsid w:val="00A47FFE"/>
    <w:rsid w:val="00A50211"/>
    <w:rsid w:val="00A51316"/>
    <w:rsid w:val="00A55B9B"/>
    <w:rsid w:val="00A575B9"/>
    <w:rsid w:val="00A655FF"/>
    <w:rsid w:val="00A6680E"/>
    <w:rsid w:val="00A711CD"/>
    <w:rsid w:val="00A74390"/>
    <w:rsid w:val="00A847EC"/>
    <w:rsid w:val="00A90D31"/>
    <w:rsid w:val="00A94D33"/>
    <w:rsid w:val="00A96C72"/>
    <w:rsid w:val="00AA0271"/>
    <w:rsid w:val="00AA06D7"/>
    <w:rsid w:val="00AA072D"/>
    <w:rsid w:val="00AA21BC"/>
    <w:rsid w:val="00AA51FB"/>
    <w:rsid w:val="00AA5235"/>
    <w:rsid w:val="00AA5906"/>
    <w:rsid w:val="00AA6F4F"/>
    <w:rsid w:val="00AB0D6C"/>
    <w:rsid w:val="00AB22DB"/>
    <w:rsid w:val="00AB643C"/>
    <w:rsid w:val="00AC1195"/>
    <w:rsid w:val="00AC1482"/>
    <w:rsid w:val="00AC2D7D"/>
    <w:rsid w:val="00AC7E56"/>
    <w:rsid w:val="00AD54A7"/>
    <w:rsid w:val="00AE3443"/>
    <w:rsid w:val="00AE5709"/>
    <w:rsid w:val="00AF01C4"/>
    <w:rsid w:val="00AF0D99"/>
    <w:rsid w:val="00AF5D57"/>
    <w:rsid w:val="00AF6E51"/>
    <w:rsid w:val="00B0598F"/>
    <w:rsid w:val="00B12B4D"/>
    <w:rsid w:val="00B157D0"/>
    <w:rsid w:val="00B16825"/>
    <w:rsid w:val="00B256A3"/>
    <w:rsid w:val="00B3070C"/>
    <w:rsid w:val="00B318FA"/>
    <w:rsid w:val="00B31FCB"/>
    <w:rsid w:val="00B3444A"/>
    <w:rsid w:val="00B36AB4"/>
    <w:rsid w:val="00B37EE8"/>
    <w:rsid w:val="00B41F70"/>
    <w:rsid w:val="00B80511"/>
    <w:rsid w:val="00B808F2"/>
    <w:rsid w:val="00B81DEF"/>
    <w:rsid w:val="00B85599"/>
    <w:rsid w:val="00B9742E"/>
    <w:rsid w:val="00BA598E"/>
    <w:rsid w:val="00BB2890"/>
    <w:rsid w:val="00BD34DB"/>
    <w:rsid w:val="00BD5841"/>
    <w:rsid w:val="00BD58D5"/>
    <w:rsid w:val="00BD6C32"/>
    <w:rsid w:val="00BD7339"/>
    <w:rsid w:val="00BD781B"/>
    <w:rsid w:val="00BD7C49"/>
    <w:rsid w:val="00BE1156"/>
    <w:rsid w:val="00BE5930"/>
    <w:rsid w:val="00BF3133"/>
    <w:rsid w:val="00BF5242"/>
    <w:rsid w:val="00BF74AE"/>
    <w:rsid w:val="00C04653"/>
    <w:rsid w:val="00C06303"/>
    <w:rsid w:val="00C1378A"/>
    <w:rsid w:val="00C15DC8"/>
    <w:rsid w:val="00C21B2B"/>
    <w:rsid w:val="00C25D4C"/>
    <w:rsid w:val="00C31BC7"/>
    <w:rsid w:val="00C33693"/>
    <w:rsid w:val="00C406EE"/>
    <w:rsid w:val="00C412E5"/>
    <w:rsid w:val="00C47257"/>
    <w:rsid w:val="00C503E5"/>
    <w:rsid w:val="00C51CA4"/>
    <w:rsid w:val="00C51FA5"/>
    <w:rsid w:val="00C536F1"/>
    <w:rsid w:val="00C6214D"/>
    <w:rsid w:val="00C63390"/>
    <w:rsid w:val="00C63EDB"/>
    <w:rsid w:val="00C65115"/>
    <w:rsid w:val="00C70263"/>
    <w:rsid w:val="00C77684"/>
    <w:rsid w:val="00C81419"/>
    <w:rsid w:val="00C856FE"/>
    <w:rsid w:val="00C91FD5"/>
    <w:rsid w:val="00C94380"/>
    <w:rsid w:val="00C947C8"/>
    <w:rsid w:val="00C95B76"/>
    <w:rsid w:val="00CA296A"/>
    <w:rsid w:val="00CA5534"/>
    <w:rsid w:val="00CC2990"/>
    <w:rsid w:val="00CC6850"/>
    <w:rsid w:val="00CC7E18"/>
    <w:rsid w:val="00CD1A27"/>
    <w:rsid w:val="00CD5A67"/>
    <w:rsid w:val="00CD5F95"/>
    <w:rsid w:val="00CD702D"/>
    <w:rsid w:val="00CE1A9E"/>
    <w:rsid w:val="00CE3D51"/>
    <w:rsid w:val="00CE7DF3"/>
    <w:rsid w:val="00CF3369"/>
    <w:rsid w:val="00CF6183"/>
    <w:rsid w:val="00CF7A38"/>
    <w:rsid w:val="00D00991"/>
    <w:rsid w:val="00D00DF9"/>
    <w:rsid w:val="00D02302"/>
    <w:rsid w:val="00D03111"/>
    <w:rsid w:val="00D04417"/>
    <w:rsid w:val="00D0680B"/>
    <w:rsid w:val="00D15684"/>
    <w:rsid w:val="00D2263F"/>
    <w:rsid w:val="00D23A56"/>
    <w:rsid w:val="00D3076C"/>
    <w:rsid w:val="00D31318"/>
    <w:rsid w:val="00D34640"/>
    <w:rsid w:val="00D408AC"/>
    <w:rsid w:val="00D415D2"/>
    <w:rsid w:val="00D450F2"/>
    <w:rsid w:val="00D55E4E"/>
    <w:rsid w:val="00D64D1D"/>
    <w:rsid w:val="00D75DBD"/>
    <w:rsid w:val="00D76C7A"/>
    <w:rsid w:val="00D974C7"/>
    <w:rsid w:val="00D97585"/>
    <w:rsid w:val="00DA4366"/>
    <w:rsid w:val="00DA54B8"/>
    <w:rsid w:val="00DA648C"/>
    <w:rsid w:val="00DA743F"/>
    <w:rsid w:val="00DB35C9"/>
    <w:rsid w:val="00DB4A15"/>
    <w:rsid w:val="00DC218C"/>
    <w:rsid w:val="00DD103B"/>
    <w:rsid w:val="00DD183C"/>
    <w:rsid w:val="00DD33D7"/>
    <w:rsid w:val="00DE1519"/>
    <w:rsid w:val="00DE2683"/>
    <w:rsid w:val="00DE2AF3"/>
    <w:rsid w:val="00DE5F56"/>
    <w:rsid w:val="00DF02B9"/>
    <w:rsid w:val="00DF73CE"/>
    <w:rsid w:val="00E046CD"/>
    <w:rsid w:val="00E16260"/>
    <w:rsid w:val="00E2696E"/>
    <w:rsid w:val="00E305B9"/>
    <w:rsid w:val="00E30734"/>
    <w:rsid w:val="00E363BC"/>
    <w:rsid w:val="00E47194"/>
    <w:rsid w:val="00E512BC"/>
    <w:rsid w:val="00E52E8C"/>
    <w:rsid w:val="00E53BBC"/>
    <w:rsid w:val="00E70B64"/>
    <w:rsid w:val="00E71240"/>
    <w:rsid w:val="00E72B7F"/>
    <w:rsid w:val="00E82B78"/>
    <w:rsid w:val="00E851E7"/>
    <w:rsid w:val="00E86AFA"/>
    <w:rsid w:val="00E93316"/>
    <w:rsid w:val="00E93E64"/>
    <w:rsid w:val="00E943FD"/>
    <w:rsid w:val="00E94CBF"/>
    <w:rsid w:val="00E955A1"/>
    <w:rsid w:val="00E96AE2"/>
    <w:rsid w:val="00EA0E60"/>
    <w:rsid w:val="00EB0C02"/>
    <w:rsid w:val="00EB5AB9"/>
    <w:rsid w:val="00EC266C"/>
    <w:rsid w:val="00EC2701"/>
    <w:rsid w:val="00EC6086"/>
    <w:rsid w:val="00EC63C1"/>
    <w:rsid w:val="00ED5BB9"/>
    <w:rsid w:val="00EE1093"/>
    <w:rsid w:val="00EE12B4"/>
    <w:rsid w:val="00EE353D"/>
    <w:rsid w:val="00EE62FE"/>
    <w:rsid w:val="00EF1F33"/>
    <w:rsid w:val="00EF23A1"/>
    <w:rsid w:val="00EF308A"/>
    <w:rsid w:val="00EF4D8E"/>
    <w:rsid w:val="00F0110A"/>
    <w:rsid w:val="00F03C69"/>
    <w:rsid w:val="00F11358"/>
    <w:rsid w:val="00F12C15"/>
    <w:rsid w:val="00F13072"/>
    <w:rsid w:val="00F22857"/>
    <w:rsid w:val="00F25581"/>
    <w:rsid w:val="00F32CE6"/>
    <w:rsid w:val="00F45BC7"/>
    <w:rsid w:val="00F545D0"/>
    <w:rsid w:val="00F6254F"/>
    <w:rsid w:val="00F71756"/>
    <w:rsid w:val="00F71EFB"/>
    <w:rsid w:val="00F77A63"/>
    <w:rsid w:val="00F8186C"/>
    <w:rsid w:val="00F8316F"/>
    <w:rsid w:val="00F844F9"/>
    <w:rsid w:val="00F87008"/>
    <w:rsid w:val="00F93A6F"/>
    <w:rsid w:val="00F9545B"/>
    <w:rsid w:val="00FA0B86"/>
    <w:rsid w:val="00FA0FFF"/>
    <w:rsid w:val="00FA516B"/>
    <w:rsid w:val="00FA6837"/>
    <w:rsid w:val="00FA6B63"/>
    <w:rsid w:val="00FB2E28"/>
    <w:rsid w:val="00FB3F05"/>
    <w:rsid w:val="00FB774B"/>
    <w:rsid w:val="00FC4825"/>
    <w:rsid w:val="00FC4AF8"/>
    <w:rsid w:val="00FC63CB"/>
    <w:rsid w:val="00FC74C6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32178"/>
  <w15:docId w15:val="{3757F786-4F96-4C40-A3A6-CFE9E185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FC"/>
    <w:rPr>
      <w:color w:val="0000FF" w:themeColor="hyperlink"/>
      <w:u w:val="single"/>
    </w:rPr>
  </w:style>
  <w:style w:type="paragraph" w:customStyle="1" w:styleId="Default">
    <w:name w:val="Default"/>
    <w:rsid w:val="00C6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F1"/>
  </w:style>
  <w:style w:type="paragraph" w:styleId="Footer">
    <w:name w:val="footer"/>
    <w:basedOn w:val="Normal"/>
    <w:link w:val="Foot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F1"/>
  </w:style>
  <w:style w:type="paragraph" w:styleId="ListParagraph">
    <w:name w:val="List Paragraph"/>
    <w:basedOn w:val="Normal"/>
    <w:uiPriority w:val="34"/>
    <w:qFormat/>
    <w:rsid w:val="00A96C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2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5D7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7C7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575B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4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02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3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16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8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7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rgethiv.org/library/careware-6-quick-start-guides-2019" TargetMode="External"/><Relationship Id="rId18" Type="http://schemas.openxmlformats.org/officeDocument/2006/relationships/hyperlink" Target="https://www.targethiv.org/dart/subscrib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data.ta@caiglobal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argethiv.org/library/rsr-instruction-manual" TargetMode="External"/><Relationship Id="rId17" Type="http://schemas.openxmlformats.org/officeDocument/2006/relationships/hyperlink" Target="https://targethiv.org/library/rsr-focus-understanding-eligible-services-2019-dat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ab.hrsa.gov/sites/default/files/hab/Global/pcn_15-04_pharmaceutical_rebates.pdf" TargetMode="External"/><Relationship Id="rId20" Type="http://schemas.openxmlformats.org/officeDocument/2006/relationships/hyperlink" Target="https://targethiv.org/library/rsr-focus-how-use-2017-rsr-upload-completeness-re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rgethiv.org/dart/webinars" TargetMode="External"/><Relationship Id="rId24" Type="http://schemas.openxmlformats.org/officeDocument/2006/relationships/hyperlink" Target="https://targethiv.org/library/rsr-ready-data-systems-vendor-inform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ab.hrsa.gov/sites/default/files/hab/Global/pcn_15-03_program_income.pdf" TargetMode="External"/><Relationship Id="rId23" Type="http://schemas.openxmlformats.org/officeDocument/2006/relationships/hyperlink" Target="https://targethiv.org/library/rsr-ready-data-systems-vendor-information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ata.ta@caiglobal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whelp@jprog.com" TargetMode="External"/><Relationship Id="rId22" Type="http://schemas.openxmlformats.org/officeDocument/2006/relationships/hyperlink" Target="https://targethiv.org/library/ehr-user-resourc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7B4666A8F064ABE1C7B8792DC69D7" ma:contentTypeVersion="7" ma:contentTypeDescription="Create a new document." ma:contentTypeScope="" ma:versionID="670fa297bf7c569344e442f718e74f47">
  <xsd:schema xmlns:xsd="http://www.w3.org/2001/XMLSchema" xmlns:xs="http://www.w3.org/2001/XMLSchema" xmlns:p="http://schemas.microsoft.com/office/2006/metadata/properties" xmlns:ns2="aef952bd-df75-4b84-81f2-59d083507a77" targetNamespace="http://schemas.microsoft.com/office/2006/metadata/properties" ma:root="true" ma:fieldsID="b40f5be962ddcfe7a01b63c5e43f5c1d" ns2:_="">
    <xsd:import namespace="aef952bd-df75-4b84-81f2-59d083507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952bd-df75-4b84-81f2-59d083507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4BD72-0925-4505-8C94-42944A9B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952bd-df75-4b84-81f2-59d083507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DB75-30DA-4514-890B-C3EDA1AAC5DD}">
  <ds:schemaRefs>
    <ds:schemaRef ds:uri="aef952bd-df75-4b84-81f2-59d083507a77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FC36EC-CBF0-4BE8-B784-17D2493345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A6686-954F-4FFF-8C8E-1FC3AB04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 Ologhobo</dc:creator>
  <cp:keywords/>
  <dc:description/>
  <cp:lastModifiedBy>Ruchi Mehta</cp:lastModifiedBy>
  <cp:revision>2</cp:revision>
  <dcterms:created xsi:type="dcterms:W3CDTF">2020-01-31T16:03:00Z</dcterms:created>
  <dcterms:modified xsi:type="dcterms:W3CDTF">2020-01-31T16:03:00Z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0x0101008E77B4666A8F064ABE1C7B8792DC69D7</vt:lpwstr>
  </property>
</Properties>
</file>